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5D" w:rsidRPr="00335DC6" w:rsidRDefault="00BF385D" w:rsidP="00BF385D">
      <w:pPr>
        <w:tabs>
          <w:tab w:val="left" w:pos="10490"/>
        </w:tabs>
        <w:ind w:left="5812" w:right="-1"/>
        <w:contextualSpacing/>
        <w:rPr>
          <w:b/>
          <w:sz w:val="20"/>
          <w:szCs w:val="20"/>
        </w:rPr>
      </w:pPr>
      <w:r w:rsidRPr="00335DC6">
        <w:rPr>
          <w:b/>
          <w:sz w:val="20"/>
          <w:szCs w:val="20"/>
        </w:rPr>
        <w:t xml:space="preserve">*Додаток № 9 до договору споживача про надання послуг з розподілу (передачі) електричної енергії </w:t>
      </w:r>
    </w:p>
    <w:p w:rsidR="00BF385D" w:rsidRPr="00335DC6" w:rsidRDefault="00BF385D" w:rsidP="00BF385D">
      <w:pPr>
        <w:tabs>
          <w:tab w:val="left" w:pos="10490"/>
        </w:tabs>
        <w:ind w:left="5812" w:right="-1"/>
        <w:contextualSpacing/>
        <w:rPr>
          <w:b/>
          <w:sz w:val="20"/>
          <w:szCs w:val="20"/>
          <w:lang w:val="ru-RU"/>
        </w:rPr>
      </w:pPr>
      <w:r w:rsidRPr="00335DC6">
        <w:rPr>
          <w:b/>
          <w:sz w:val="20"/>
          <w:szCs w:val="20"/>
        </w:rPr>
        <w:t>від «___»__________ 20___р.</w:t>
      </w:r>
      <w:r w:rsidRPr="00335DC6">
        <w:rPr>
          <w:b/>
          <w:sz w:val="20"/>
          <w:szCs w:val="20"/>
          <w:lang w:val="ru-RU"/>
        </w:rPr>
        <w:t xml:space="preserve"> </w:t>
      </w:r>
      <w:r w:rsidRPr="00335DC6">
        <w:rPr>
          <w:b/>
          <w:sz w:val="20"/>
          <w:szCs w:val="20"/>
        </w:rPr>
        <w:t xml:space="preserve"> № </w:t>
      </w:r>
      <w:r w:rsidRPr="00335DC6">
        <w:rPr>
          <w:b/>
          <w:bCs/>
        </w:rPr>
        <w:t>____________</w:t>
      </w:r>
    </w:p>
    <w:p w:rsidR="00BF385D" w:rsidRPr="00335DC6" w:rsidRDefault="00BF385D" w:rsidP="00BF385D">
      <w:pPr>
        <w:ind w:left="4253"/>
        <w:contextualSpacing/>
        <w:rPr>
          <w:b/>
          <w:sz w:val="20"/>
          <w:szCs w:val="20"/>
        </w:rPr>
      </w:pPr>
    </w:p>
    <w:p w:rsidR="00BF385D" w:rsidRPr="00335DC6" w:rsidRDefault="00BF385D" w:rsidP="00BF385D">
      <w:pPr>
        <w:contextualSpacing/>
        <w:jc w:val="center"/>
        <w:rPr>
          <w:b/>
          <w:sz w:val="20"/>
          <w:szCs w:val="20"/>
        </w:rPr>
      </w:pPr>
      <w:r w:rsidRPr="00335DC6">
        <w:rPr>
          <w:b/>
          <w:sz w:val="20"/>
          <w:szCs w:val="20"/>
        </w:rPr>
        <w:t>Порядок участі споживача в графіках обмеження електроспоживання, графіках відключень та заходи з регулювання споживання</w:t>
      </w:r>
    </w:p>
    <w:p w:rsidR="00BF385D" w:rsidRPr="00335DC6" w:rsidRDefault="00BF385D" w:rsidP="00BF385D">
      <w:pPr>
        <w:pStyle w:val="a3"/>
        <w:numPr>
          <w:ilvl w:val="0"/>
          <w:numId w:val="3"/>
        </w:numPr>
        <w:ind w:left="284" w:hanging="284"/>
        <w:jc w:val="both"/>
        <w:rPr>
          <w:sz w:val="18"/>
          <w:szCs w:val="18"/>
        </w:rPr>
      </w:pPr>
      <w:r w:rsidRPr="00335DC6">
        <w:rPr>
          <w:sz w:val="18"/>
          <w:szCs w:val="18"/>
        </w:rPr>
        <w:t>Оператор системи у відповідності з нормативними документами по складанню графіків обмеження споживання та потужності електроенергії (ГОП_ГОЕ) встановлює такі обмеження:</w:t>
      </w:r>
    </w:p>
    <w:tbl>
      <w:tblPr>
        <w:tblW w:w="4896" w:type="pct"/>
        <w:tblLook w:val="04A0" w:firstRow="1" w:lastRow="0" w:firstColumn="1" w:lastColumn="0" w:noHBand="0" w:noVBand="1"/>
      </w:tblPr>
      <w:tblGrid>
        <w:gridCol w:w="1819"/>
        <w:gridCol w:w="276"/>
        <w:gridCol w:w="1178"/>
        <w:gridCol w:w="579"/>
        <w:gridCol w:w="294"/>
        <w:gridCol w:w="418"/>
        <w:gridCol w:w="217"/>
        <w:gridCol w:w="248"/>
        <w:gridCol w:w="19"/>
        <w:gridCol w:w="306"/>
        <w:gridCol w:w="183"/>
        <w:gridCol w:w="40"/>
        <w:gridCol w:w="223"/>
        <w:gridCol w:w="972"/>
        <w:gridCol w:w="223"/>
        <w:gridCol w:w="1291"/>
        <w:gridCol w:w="1124"/>
        <w:gridCol w:w="167"/>
        <w:gridCol w:w="833"/>
      </w:tblGrid>
      <w:tr w:rsidR="00BF385D" w:rsidRPr="00335DC6" w:rsidTr="00CE43EE">
        <w:trPr>
          <w:trHeight w:val="255"/>
        </w:trPr>
        <w:tc>
          <w:tcPr>
            <w:tcW w:w="1851" w:type="pct"/>
            <w:gridSpan w:val="4"/>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bCs/>
                <w:sz w:val="18"/>
                <w:szCs w:val="18"/>
              </w:rPr>
            </w:pPr>
            <w:r w:rsidRPr="00335DC6">
              <w:rPr>
                <w:bCs/>
                <w:sz w:val="18"/>
                <w:szCs w:val="18"/>
              </w:rPr>
              <w:t>Електричної енергії (ГОЕ)</w:t>
            </w:r>
          </w:p>
        </w:tc>
        <w:tc>
          <w:tcPr>
            <w:tcW w:w="141"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305"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28"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235"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860" w:type="pct"/>
            <w:gridSpan w:val="6"/>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bCs/>
                <w:sz w:val="18"/>
                <w:szCs w:val="18"/>
              </w:rPr>
            </w:pPr>
            <w:r w:rsidRPr="00335DC6">
              <w:rPr>
                <w:bCs/>
                <w:sz w:val="18"/>
                <w:szCs w:val="18"/>
              </w:rPr>
              <w:t>Електричної потужності(ГОП)</w:t>
            </w:r>
          </w:p>
        </w:tc>
        <w:tc>
          <w:tcPr>
            <w:tcW w:w="480"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r>
      <w:tr w:rsidR="00BF385D" w:rsidRPr="00335DC6" w:rsidTr="00CE43EE">
        <w:trPr>
          <w:gridAfter w:val="1"/>
          <w:wAfter w:w="401" w:type="pct"/>
          <w:trHeight w:val="255"/>
        </w:trPr>
        <w:tc>
          <w:tcPr>
            <w:tcW w:w="874"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roofErr w:type="spellStart"/>
            <w:r w:rsidRPr="00335DC6">
              <w:rPr>
                <w:sz w:val="18"/>
                <w:szCs w:val="18"/>
              </w:rPr>
              <w:t>тис.кВт.год</w:t>
            </w:r>
            <w:proofErr w:type="spellEnd"/>
          </w:p>
        </w:tc>
        <w:tc>
          <w:tcPr>
            <w:tcW w:w="133"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566"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jc w:val="right"/>
              <w:rPr>
                <w:sz w:val="18"/>
                <w:szCs w:val="18"/>
              </w:rPr>
            </w:pPr>
            <w:r w:rsidRPr="00335DC6">
              <w:rPr>
                <w:sz w:val="18"/>
                <w:szCs w:val="18"/>
              </w:rPr>
              <w:t>1</w:t>
            </w:r>
          </w:p>
        </w:tc>
        <w:tc>
          <w:tcPr>
            <w:tcW w:w="620" w:type="pct"/>
            <w:gridSpan w:val="3"/>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r w:rsidRPr="00335DC6">
              <w:rPr>
                <w:sz w:val="18"/>
                <w:szCs w:val="18"/>
              </w:rPr>
              <w:t>черга</w:t>
            </w:r>
          </w:p>
        </w:tc>
        <w:tc>
          <w:tcPr>
            <w:tcW w:w="223"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56"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07"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0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46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roofErr w:type="spellStart"/>
            <w:r w:rsidRPr="00335DC6">
              <w:rPr>
                <w:sz w:val="18"/>
                <w:szCs w:val="18"/>
              </w:rPr>
              <w:t>МВт</w:t>
            </w:r>
            <w:proofErr w:type="spellEnd"/>
          </w:p>
        </w:tc>
        <w:tc>
          <w:tcPr>
            <w:tcW w:w="10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620" w:type="pct"/>
            <w:vAlign w:val="bottom"/>
          </w:tcPr>
          <w:p w:rsidR="00BF385D" w:rsidRPr="00335DC6" w:rsidRDefault="00BF385D" w:rsidP="004956C5">
            <w:pPr>
              <w:ind w:left="284" w:hanging="284"/>
              <w:contextualSpacing/>
              <w:jc w:val="right"/>
              <w:rPr>
                <w:sz w:val="18"/>
                <w:szCs w:val="18"/>
              </w:rPr>
            </w:pPr>
            <w:r w:rsidRPr="00335DC6">
              <w:rPr>
                <w:sz w:val="18"/>
                <w:szCs w:val="18"/>
              </w:rPr>
              <w:t>1</w:t>
            </w:r>
          </w:p>
        </w:tc>
        <w:tc>
          <w:tcPr>
            <w:tcW w:w="620" w:type="pct"/>
            <w:gridSpan w:val="2"/>
            <w:vAlign w:val="bottom"/>
          </w:tcPr>
          <w:p w:rsidR="00BF385D" w:rsidRPr="00335DC6" w:rsidRDefault="00BF385D" w:rsidP="004956C5">
            <w:pPr>
              <w:ind w:left="284" w:hanging="284"/>
              <w:contextualSpacing/>
              <w:rPr>
                <w:sz w:val="18"/>
                <w:szCs w:val="18"/>
              </w:rPr>
            </w:pPr>
            <w:r w:rsidRPr="00335DC6">
              <w:rPr>
                <w:sz w:val="18"/>
                <w:szCs w:val="18"/>
              </w:rPr>
              <w:t>черга</w:t>
            </w:r>
          </w:p>
        </w:tc>
      </w:tr>
      <w:tr w:rsidR="00BF385D" w:rsidRPr="00335DC6" w:rsidTr="00CE43EE">
        <w:trPr>
          <w:gridAfter w:val="1"/>
          <w:wAfter w:w="401" w:type="pct"/>
          <w:trHeight w:val="255"/>
        </w:trPr>
        <w:tc>
          <w:tcPr>
            <w:tcW w:w="874"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roofErr w:type="spellStart"/>
            <w:r w:rsidRPr="00335DC6">
              <w:rPr>
                <w:sz w:val="18"/>
                <w:szCs w:val="18"/>
              </w:rPr>
              <w:t>тис.кВт.год</w:t>
            </w:r>
            <w:proofErr w:type="spellEnd"/>
          </w:p>
        </w:tc>
        <w:tc>
          <w:tcPr>
            <w:tcW w:w="133"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566"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jc w:val="right"/>
              <w:rPr>
                <w:sz w:val="18"/>
                <w:szCs w:val="18"/>
              </w:rPr>
            </w:pPr>
            <w:r w:rsidRPr="00335DC6">
              <w:rPr>
                <w:sz w:val="18"/>
                <w:szCs w:val="18"/>
              </w:rPr>
              <w:t>2</w:t>
            </w:r>
          </w:p>
        </w:tc>
        <w:tc>
          <w:tcPr>
            <w:tcW w:w="620" w:type="pct"/>
            <w:gridSpan w:val="3"/>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r w:rsidRPr="00335DC6">
              <w:rPr>
                <w:sz w:val="18"/>
                <w:szCs w:val="18"/>
              </w:rPr>
              <w:t>черга</w:t>
            </w:r>
          </w:p>
        </w:tc>
        <w:tc>
          <w:tcPr>
            <w:tcW w:w="223"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56"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07"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0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46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roofErr w:type="spellStart"/>
            <w:r w:rsidRPr="00335DC6">
              <w:rPr>
                <w:sz w:val="18"/>
                <w:szCs w:val="18"/>
              </w:rPr>
              <w:t>МВт</w:t>
            </w:r>
            <w:proofErr w:type="spellEnd"/>
          </w:p>
        </w:tc>
        <w:tc>
          <w:tcPr>
            <w:tcW w:w="10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620" w:type="pct"/>
            <w:vAlign w:val="bottom"/>
          </w:tcPr>
          <w:p w:rsidR="00BF385D" w:rsidRPr="00335DC6" w:rsidRDefault="00BF385D" w:rsidP="004956C5">
            <w:pPr>
              <w:ind w:left="284" w:hanging="284"/>
              <w:contextualSpacing/>
              <w:jc w:val="right"/>
              <w:rPr>
                <w:sz w:val="18"/>
                <w:szCs w:val="18"/>
              </w:rPr>
            </w:pPr>
            <w:r w:rsidRPr="00335DC6">
              <w:rPr>
                <w:sz w:val="18"/>
                <w:szCs w:val="18"/>
              </w:rPr>
              <w:t>2</w:t>
            </w:r>
          </w:p>
        </w:tc>
        <w:tc>
          <w:tcPr>
            <w:tcW w:w="620" w:type="pct"/>
            <w:gridSpan w:val="2"/>
            <w:vAlign w:val="bottom"/>
          </w:tcPr>
          <w:p w:rsidR="00BF385D" w:rsidRPr="00335DC6" w:rsidRDefault="00BF385D" w:rsidP="004956C5">
            <w:pPr>
              <w:ind w:left="284" w:hanging="284"/>
              <w:contextualSpacing/>
              <w:rPr>
                <w:sz w:val="18"/>
                <w:szCs w:val="18"/>
              </w:rPr>
            </w:pPr>
            <w:r w:rsidRPr="00335DC6">
              <w:rPr>
                <w:sz w:val="18"/>
                <w:szCs w:val="18"/>
              </w:rPr>
              <w:t>черга</w:t>
            </w:r>
          </w:p>
        </w:tc>
      </w:tr>
      <w:tr w:rsidR="00BF385D" w:rsidRPr="00335DC6" w:rsidTr="00CE43EE">
        <w:trPr>
          <w:gridAfter w:val="1"/>
          <w:wAfter w:w="401" w:type="pct"/>
          <w:trHeight w:val="255"/>
        </w:trPr>
        <w:tc>
          <w:tcPr>
            <w:tcW w:w="874"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roofErr w:type="spellStart"/>
            <w:r w:rsidRPr="00335DC6">
              <w:rPr>
                <w:sz w:val="18"/>
                <w:szCs w:val="18"/>
              </w:rPr>
              <w:t>тис.кВт.год</w:t>
            </w:r>
            <w:proofErr w:type="spellEnd"/>
          </w:p>
        </w:tc>
        <w:tc>
          <w:tcPr>
            <w:tcW w:w="133"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566"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jc w:val="right"/>
              <w:rPr>
                <w:sz w:val="18"/>
                <w:szCs w:val="18"/>
              </w:rPr>
            </w:pPr>
            <w:r w:rsidRPr="00335DC6">
              <w:rPr>
                <w:sz w:val="18"/>
                <w:szCs w:val="18"/>
              </w:rPr>
              <w:t>3</w:t>
            </w:r>
          </w:p>
        </w:tc>
        <w:tc>
          <w:tcPr>
            <w:tcW w:w="620" w:type="pct"/>
            <w:gridSpan w:val="3"/>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r w:rsidRPr="00335DC6">
              <w:rPr>
                <w:sz w:val="18"/>
                <w:szCs w:val="18"/>
              </w:rPr>
              <w:t>черга</w:t>
            </w:r>
          </w:p>
        </w:tc>
        <w:tc>
          <w:tcPr>
            <w:tcW w:w="223"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56"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07"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0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46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roofErr w:type="spellStart"/>
            <w:r w:rsidRPr="00335DC6">
              <w:rPr>
                <w:sz w:val="18"/>
                <w:szCs w:val="18"/>
              </w:rPr>
              <w:t>МВт</w:t>
            </w:r>
            <w:proofErr w:type="spellEnd"/>
          </w:p>
        </w:tc>
        <w:tc>
          <w:tcPr>
            <w:tcW w:w="10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620" w:type="pct"/>
            <w:vAlign w:val="bottom"/>
          </w:tcPr>
          <w:p w:rsidR="00BF385D" w:rsidRPr="00335DC6" w:rsidRDefault="00BF385D" w:rsidP="004956C5">
            <w:pPr>
              <w:ind w:left="284" w:hanging="284"/>
              <w:contextualSpacing/>
              <w:jc w:val="right"/>
              <w:rPr>
                <w:sz w:val="18"/>
                <w:szCs w:val="18"/>
              </w:rPr>
            </w:pPr>
            <w:r w:rsidRPr="00335DC6">
              <w:rPr>
                <w:sz w:val="18"/>
                <w:szCs w:val="18"/>
              </w:rPr>
              <w:t>3</w:t>
            </w:r>
          </w:p>
        </w:tc>
        <w:tc>
          <w:tcPr>
            <w:tcW w:w="620" w:type="pct"/>
            <w:gridSpan w:val="2"/>
            <w:vAlign w:val="bottom"/>
          </w:tcPr>
          <w:p w:rsidR="00BF385D" w:rsidRPr="00335DC6" w:rsidRDefault="00BF385D" w:rsidP="004956C5">
            <w:pPr>
              <w:ind w:left="284" w:hanging="284"/>
              <w:contextualSpacing/>
              <w:rPr>
                <w:sz w:val="18"/>
                <w:szCs w:val="18"/>
              </w:rPr>
            </w:pPr>
            <w:r w:rsidRPr="00335DC6">
              <w:rPr>
                <w:sz w:val="18"/>
                <w:szCs w:val="18"/>
              </w:rPr>
              <w:t>черга</w:t>
            </w:r>
          </w:p>
        </w:tc>
      </w:tr>
      <w:tr w:rsidR="00BF385D" w:rsidRPr="00335DC6" w:rsidTr="00CE43EE">
        <w:trPr>
          <w:gridAfter w:val="1"/>
          <w:wAfter w:w="401" w:type="pct"/>
          <w:trHeight w:val="255"/>
        </w:trPr>
        <w:tc>
          <w:tcPr>
            <w:tcW w:w="874"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roofErr w:type="spellStart"/>
            <w:r w:rsidRPr="00335DC6">
              <w:rPr>
                <w:sz w:val="18"/>
                <w:szCs w:val="18"/>
              </w:rPr>
              <w:t>тис.кВт.год</w:t>
            </w:r>
            <w:proofErr w:type="spellEnd"/>
          </w:p>
        </w:tc>
        <w:tc>
          <w:tcPr>
            <w:tcW w:w="133"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566"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jc w:val="right"/>
              <w:rPr>
                <w:sz w:val="18"/>
                <w:szCs w:val="18"/>
              </w:rPr>
            </w:pPr>
            <w:r w:rsidRPr="00335DC6">
              <w:rPr>
                <w:sz w:val="18"/>
                <w:szCs w:val="18"/>
              </w:rPr>
              <w:t>4</w:t>
            </w:r>
          </w:p>
        </w:tc>
        <w:tc>
          <w:tcPr>
            <w:tcW w:w="620" w:type="pct"/>
            <w:gridSpan w:val="3"/>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r w:rsidRPr="00335DC6">
              <w:rPr>
                <w:sz w:val="18"/>
                <w:szCs w:val="18"/>
              </w:rPr>
              <w:t>черга</w:t>
            </w:r>
          </w:p>
        </w:tc>
        <w:tc>
          <w:tcPr>
            <w:tcW w:w="223"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56"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07"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0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46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roofErr w:type="spellStart"/>
            <w:r w:rsidRPr="00335DC6">
              <w:rPr>
                <w:sz w:val="18"/>
                <w:szCs w:val="18"/>
              </w:rPr>
              <w:t>МВт</w:t>
            </w:r>
            <w:proofErr w:type="spellEnd"/>
          </w:p>
        </w:tc>
        <w:tc>
          <w:tcPr>
            <w:tcW w:w="10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620" w:type="pct"/>
            <w:vAlign w:val="bottom"/>
          </w:tcPr>
          <w:p w:rsidR="00BF385D" w:rsidRPr="00335DC6" w:rsidRDefault="00BF385D" w:rsidP="004956C5">
            <w:pPr>
              <w:ind w:left="284" w:hanging="284"/>
              <w:contextualSpacing/>
              <w:jc w:val="right"/>
              <w:rPr>
                <w:sz w:val="18"/>
                <w:szCs w:val="18"/>
              </w:rPr>
            </w:pPr>
            <w:r w:rsidRPr="00335DC6">
              <w:rPr>
                <w:sz w:val="18"/>
                <w:szCs w:val="18"/>
              </w:rPr>
              <w:t>4</w:t>
            </w:r>
          </w:p>
        </w:tc>
        <w:tc>
          <w:tcPr>
            <w:tcW w:w="620" w:type="pct"/>
            <w:gridSpan w:val="2"/>
            <w:vAlign w:val="bottom"/>
          </w:tcPr>
          <w:p w:rsidR="00BF385D" w:rsidRPr="00335DC6" w:rsidRDefault="00BF385D" w:rsidP="004956C5">
            <w:pPr>
              <w:ind w:left="284" w:hanging="284"/>
              <w:contextualSpacing/>
              <w:rPr>
                <w:sz w:val="18"/>
                <w:szCs w:val="18"/>
              </w:rPr>
            </w:pPr>
            <w:r w:rsidRPr="00335DC6">
              <w:rPr>
                <w:sz w:val="18"/>
                <w:szCs w:val="18"/>
              </w:rPr>
              <w:t>черга</w:t>
            </w:r>
          </w:p>
        </w:tc>
      </w:tr>
      <w:tr w:rsidR="00BF385D" w:rsidRPr="00335DC6" w:rsidTr="00CE43EE">
        <w:trPr>
          <w:gridAfter w:val="1"/>
          <w:wAfter w:w="401" w:type="pct"/>
          <w:trHeight w:val="255"/>
        </w:trPr>
        <w:tc>
          <w:tcPr>
            <w:tcW w:w="874"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roofErr w:type="spellStart"/>
            <w:r w:rsidRPr="00335DC6">
              <w:rPr>
                <w:sz w:val="18"/>
                <w:szCs w:val="18"/>
              </w:rPr>
              <w:t>тис.кВт.год</w:t>
            </w:r>
            <w:proofErr w:type="spellEnd"/>
          </w:p>
        </w:tc>
        <w:tc>
          <w:tcPr>
            <w:tcW w:w="133"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566"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jc w:val="right"/>
              <w:rPr>
                <w:sz w:val="18"/>
                <w:szCs w:val="18"/>
              </w:rPr>
            </w:pPr>
            <w:r w:rsidRPr="00335DC6">
              <w:rPr>
                <w:sz w:val="18"/>
                <w:szCs w:val="18"/>
              </w:rPr>
              <w:t>5</w:t>
            </w:r>
          </w:p>
        </w:tc>
        <w:tc>
          <w:tcPr>
            <w:tcW w:w="620" w:type="pct"/>
            <w:gridSpan w:val="3"/>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r w:rsidRPr="00335DC6">
              <w:rPr>
                <w:sz w:val="18"/>
                <w:szCs w:val="18"/>
              </w:rPr>
              <w:t>черга</w:t>
            </w:r>
          </w:p>
        </w:tc>
        <w:tc>
          <w:tcPr>
            <w:tcW w:w="223"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56"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07" w:type="pct"/>
            <w:gridSpan w:val="2"/>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10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46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roofErr w:type="spellStart"/>
            <w:r w:rsidRPr="00335DC6">
              <w:rPr>
                <w:sz w:val="18"/>
                <w:szCs w:val="18"/>
              </w:rPr>
              <w:t>МВт</w:t>
            </w:r>
            <w:proofErr w:type="spellEnd"/>
          </w:p>
        </w:tc>
        <w:tc>
          <w:tcPr>
            <w:tcW w:w="107" w:type="pct"/>
            <w:tcBorders>
              <w:top w:val="nil"/>
              <w:left w:val="nil"/>
              <w:bottom w:val="nil"/>
              <w:right w:val="nil"/>
            </w:tcBorders>
            <w:shd w:val="clear" w:color="auto" w:fill="auto"/>
            <w:noWrap/>
            <w:vAlign w:val="bottom"/>
            <w:hideMark/>
          </w:tcPr>
          <w:p w:rsidR="00BF385D" w:rsidRPr="00335DC6" w:rsidRDefault="00BF385D" w:rsidP="004956C5">
            <w:pPr>
              <w:ind w:left="284" w:hanging="284"/>
              <w:contextualSpacing/>
              <w:rPr>
                <w:sz w:val="18"/>
                <w:szCs w:val="18"/>
              </w:rPr>
            </w:pPr>
          </w:p>
        </w:tc>
        <w:tc>
          <w:tcPr>
            <w:tcW w:w="620" w:type="pct"/>
            <w:vAlign w:val="bottom"/>
          </w:tcPr>
          <w:p w:rsidR="00BF385D" w:rsidRPr="00335DC6" w:rsidRDefault="00BF385D" w:rsidP="004956C5">
            <w:pPr>
              <w:ind w:left="284" w:hanging="284"/>
              <w:contextualSpacing/>
              <w:jc w:val="right"/>
              <w:rPr>
                <w:sz w:val="18"/>
                <w:szCs w:val="18"/>
              </w:rPr>
            </w:pPr>
            <w:r w:rsidRPr="00335DC6">
              <w:rPr>
                <w:sz w:val="18"/>
                <w:szCs w:val="18"/>
              </w:rPr>
              <w:t>5</w:t>
            </w:r>
          </w:p>
        </w:tc>
        <w:tc>
          <w:tcPr>
            <w:tcW w:w="620" w:type="pct"/>
            <w:gridSpan w:val="2"/>
            <w:vAlign w:val="bottom"/>
          </w:tcPr>
          <w:p w:rsidR="00BF385D" w:rsidRPr="00335DC6" w:rsidRDefault="00BF385D" w:rsidP="004956C5">
            <w:pPr>
              <w:ind w:left="284" w:hanging="284"/>
              <w:contextualSpacing/>
              <w:rPr>
                <w:sz w:val="18"/>
                <w:szCs w:val="18"/>
              </w:rPr>
            </w:pPr>
            <w:r w:rsidRPr="00335DC6">
              <w:rPr>
                <w:sz w:val="18"/>
                <w:szCs w:val="18"/>
              </w:rPr>
              <w:t>черга</w:t>
            </w:r>
          </w:p>
        </w:tc>
      </w:tr>
    </w:tbl>
    <w:p w:rsidR="00CE43EE" w:rsidRPr="00335DC6" w:rsidRDefault="00CE43EE" w:rsidP="00CE43EE">
      <w:pPr>
        <w:pStyle w:val="a3"/>
        <w:numPr>
          <w:ilvl w:val="0"/>
          <w:numId w:val="3"/>
        </w:numPr>
        <w:jc w:val="both"/>
        <w:rPr>
          <w:sz w:val="18"/>
          <w:szCs w:val="18"/>
        </w:rPr>
      </w:pPr>
      <w:r w:rsidRPr="00335DC6">
        <w:rPr>
          <w:sz w:val="18"/>
          <w:szCs w:val="18"/>
        </w:rPr>
        <w:t>Величина черг обмежень обсягів споживання електричної енергії та потужності встановлюється та повідомляється Споживачу Оператором системи розподілу на період з 1 жовтня поточного року до 1 жовтня наступного року письмово в термін до 01 вересня поточного року.</w:t>
      </w:r>
    </w:p>
    <w:p w:rsidR="00CE43EE" w:rsidRPr="00335DC6" w:rsidRDefault="00CE43EE" w:rsidP="00CE43EE">
      <w:pPr>
        <w:pStyle w:val="a3"/>
        <w:numPr>
          <w:ilvl w:val="0"/>
          <w:numId w:val="3"/>
        </w:numPr>
        <w:jc w:val="both"/>
        <w:rPr>
          <w:sz w:val="18"/>
          <w:szCs w:val="18"/>
        </w:rPr>
      </w:pPr>
      <w:r w:rsidRPr="00335DC6">
        <w:rPr>
          <w:sz w:val="18"/>
          <w:szCs w:val="18"/>
        </w:rPr>
        <w:t>Споживач зобов’язаний розробити комплекс заходів по п’яти чергам з обмеження споживання електричної потужності та обмеження</w:t>
      </w:r>
    </w:p>
    <w:p w:rsidR="00CE43EE" w:rsidRPr="00335DC6" w:rsidRDefault="00CE43EE" w:rsidP="00BA1FAB">
      <w:pPr>
        <w:pStyle w:val="a3"/>
        <w:ind w:left="76"/>
        <w:jc w:val="both"/>
        <w:rPr>
          <w:sz w:val="18"/>
          <w:szCs w:val="18"/>
        </w:rPr>
      </w:pPr>
      <w:r w:rsidRPr="00335DC6">
        <w:rPr>
          <w:sz w:val="18"/>
          <w:szCs w:val="18"/>
        </w:rPr>
        <w:t>споживання електричної енергії, а також наказ по підприємству про порядок введення в дію ГОЕ та ГОП. Затверджені заходи та копія наказу надаються Споживачем Оператору системи розподілу протягом місяця з дати отримання повідомлення.</w:t>
      </w:r>
    </w:p>
    <w:p w:rsidR="00BF385D" w:rsidRPr="00335DC6" w:rsidRDefault="00BF385D" w:rsidP="00BF385D">
      <w:pPr>
        <w:pStyle w:val="a3"/>
        <w:numPr>
          <w:ilvl w:val="0"/>
          <w:numId w:val="3"/>
        </w:numPr>
        <w:ind w:left="284" w:hanging="284"/>
        <w:jc w:val="both"/>
        <w:rPr>
          <w:sz w:val="18"/>
          <w:szCs w:val="18"/>
        </w:rPr>
      </w:pPr>
      <w:r w:rsidRPr="00335DC6">
        <w:rPr>
          <w:sz w:val="18"/>
          <w:szCs w:val="18"/>
        </w:rPr>
        <w:t>До графіків аварійних відключень (ГАВ_СГАВ) занесені: ________________________________________________</w:t>
      </w:r>
    </w:p>
    <w:p w:rsidR="00BF385D" w:rsidRPr="00335DC6" w:rsidRDefault="00BF385D" w:rsidP="00BF385D">
      <w:pPr>
        <w:ind w:left="284" w:hanging="284"/>
        <w:jc w:val="both"/>
        <w:rPr>
          <w:sz w:val="18"/>
          <w:szCs w:val="18"/>
        </w:rPr>
      </w:pPr>
      <w:r w:rsidRPr="00335DC6">
        <w:rPr>
          <w:sz w:val="18"/>
          <w:szCs w:val="18"/>
        </w:rPr>
        <w:t>3.</w:t>
      </w:r>
      <w:r w:rsidRPr="00335DC6">
        <w:rPr>
          <w:sz w:val="18"/>
          <w:szCs w:val="18"/>
        </w:rPr>
        <w:tab/>
        <w:t>Порядок повідомлення Споживача про проведення графіків обмеження (ГОП_ГОЕ): телефонограма.</w:t>
      </w:r>
    </w:p>
    <w:p w:rsidR="00BF385D" w:rsidRPr="00335DC6" w:rsidRDefault="00BF385D" w:rsidP="00D60183">
      <w:pPr>
        <w:tabs>
          <w:tab w:val="left" w:pos="284"/>
        </w:tabs>
        <w:jc w:val="both"/>
        <w:rPr>
          <w:sz w:val="18"/>
          <w:szCs w:val="18"/>
        </w:rPr>
      </w:pPr>
      <w:r w:rsidRPr="00335DC6">
        <w:rPr>
          <w:sz w:val="18"/>
          <w:szCs w:val="18"/>
        </w:rPr>
        <w:t>4.</w:t>
      </w:r>
      <w:r w:rsidRPr="00335DC6">
        <w:rPr>
          <w:sz w:val="18"/>
          <w:szCs w:val="18"/>
        </w:rPr>
        <w:tab/>
        <w:t>Застосування ГАВ та СГАВ проводиться без попередження споживача.</w:t>
      </w:r>
    </w:p>
    <w:p w:rsidR="00D60183" w:rsidRPr="00335DC6" w:rsidRDefault="00D60183" w:rsidP="00D60183">
      <w:pPr>
        <w:tabs>
          <w:tab w:val="left" w:pos="284"/>
        </w:tabs>
        <w:jc w:val="both"/>
        <w:rPr>
          <w:sz w:val="18"/>
          <w:szCs w:val="18"/>
        </w:rPr>
      </w:pPr>
      <w:r w:rsidRPr="00335DC6">
        <w:rPr>
          <w:sz w:val="18"/>
          <w:szCs w:val="18"/>
        </w:rPr>
        <w:t>5. До графіків погодинного відключення (ГПВ) відносяться лінії, які живлять струмоприймачі, незалежно від категорії надійності електропостачання, у тому числі лінії, заведені під дію ГАВ.</w:t>
      </w:r>
    </w:p>
    <w:p w:rsidR="00BF385D" w:rsidRPr="00335DC6" w:rsidRDefault="00D60183" w:rsidP="00D60183">
      <w:pPr>
        <w:tabs>
          <w:tab w:val="left" w:pos="284"/>
        </w:tabs>
        <w:jc w:val="both"/>
        <w:rPr>
          <w:sz w:val="18"/>
          <w:szCs w:val="18"/>
        </w:rPr>
      </w:pPr>
      <w:r w:rsidRPr="00335DC6">
        <w:rPr>
          <w:sz w:val="18"/>
          <w:szCs w:val="18"/>
        </w:rPr>
        <w:t>6</w:t>
      </w:r>
      <w:r w:rsidR="00BF385D" w:rsidRPr="00335DC6">
        <w:rPr>
          <w:sz w:val="18"/>
          <w:szCs w:val="18"/>
        </w:rPr>
        <w:t>.</w:t>
      </w:r>
      <w:r w:rsidR="00BF385D" w:rsidRPr="00335DC6">
        <w:rPr>
          <w:sz w:val="18"/>
          <w:szCs w:val="18"/>
        </w:rPr>
        <w:tab/>
        <w:t>Сторони несуть відповідальність за невиконання умов обмеження електроспоживання згідно з чинним законодавством.</w:t>
      </w:r>
    </w:p>
    <w:p w:rsidR="00BF385D" w:rsidRPr="00335DC6" w:rsidRDefault="00D60183" w:rsidP="00D60183">
      <w:pPr>
        <w:tabs>
          <w:tab w:val="left" w:pos="284"/>
        </w:tabs>
        <w:jc w:val="both"/>
        <w:rPr>
          <w:sz w:val="18"/>
          <w:szCs w:val="18"/>
        </w:rPr>
      </w:pPr>
      <w:r w:rsidRPr="00335DC6">
        <w:rPr>
          <w:sz w:val="18"/>
          <w:szCs w:val="18"/>
        </w:rPr>
        <w:t>7</w:t>
      </w:r>
      <w:r w:rsidR="00BF385D" w:rsidRPr="00335DC6">
        <w:rPr>
          <w:sz w:val="18"/>
          <w:szCs w:val="18"/>
        </w:rPr>
        <w:t>.</w:t>
      </w:r>
      <w:r w:rsidR="00BF385D" w:rsidRPr="00335DC6">
        <w:rPr>
          <w:sz w:val="18"/>
          <w:szCs w:val="18"/>
        </w:rPr>
        <w:tab/>
        <w:t>Контактні дані відповідальної особи Споживача для обміну інформацією, яка уповноважена прийняти рішення у випадку настання технологічних порушень, що повинна вийти на зв’язок у будь який час доби (за умови виникнення аварійної ситуації):</w:t>
      </w:r>
    </w:p>
    <w:p w:rsidR="00BF385D" w:rsidRPr="00335DC6" w:rsidRDefault="00BF385D" w:rsidP="00D60183">
      <w:pPr>
        <w:tabs>
          <w:tab w:val="left" w:pos="284"/>
        </w:tabs>
        <w:jc w:val="both"/>
        <w:rPr>
          <w:sz w:val="18"/>
          <w:szCs w:val="18"/>
        </w:rPr>
      </w:pPr>
      <w:r w:rsidRPr="00335DC6">
        <w:rPr>
          <w:sz w:val="18"/>
          <w:szCs w:val="18"/>
        </w:rPr>
        <w:t>Посада____________________________________________________________________________________________________________</w:t>
      </w:r>
    </w:p>
    <w:p w:rsidR="00BF385D" w:rsidRPr="00335DC6" w:rsidRDefault="00BF385D" w:rsidP="00D60183">
      <w:pPr>
        <w:tabs>
          <w:tab w:val="left" w:pos="284"/>
        </w:tabs>
        <w:contextualSpacing/>
        <w:rPr>
          <w:sz w:val="18"/>
          <w:szCs w:val="18"/>
        </w:rPr>
      </w:pPr>
      <w:r w:rsidRPr="00335DC6">
        <w:rPr>
          <w:sz w:val="18"/>
          <w:szCs w:val="18"/>
        </w:rPr>
        <w:t>ПІБ_______________________________________________________________________________________________________________</w:t>
      </w:r>
    </w:p>
    <w:p w:rsidR="00BF385D" w:rsidRPr="00335DC6" w:rsidRDefault="00BF385D" w:rsidP="00D60183">
      <w:pPr>
        <w:tabs>
          <w:tab w:val="left" w:pos="284"/>
        </w:tabs>
        <w:contextualSpacing/>
        <w:rPr>
          <w:sz w:val="18"/>
          <w:szCs w:val="18"/>
        </w:rPr>
      </w:pPr>
      <w:proofErr w:type="spellStart"/>
      <w:r w:rsidRPr="00335DC6">
        <w:rPr>
          <w:sz w:val="18"/>
          <w:szCs w:val="18"/>
        </w:rPr>
        <w:t>Тел</w:t>
      </w:r>
      <w:proofErr w:type="spellEnd"/>
      <w:r w:rsidRPr="00335DC6">
        <w:rPr>
          <w:sz w:val="18"/>
          <w:szCs w:val="18"/>
        </w:rPr>
        <w:t xml:space="preserve">.:_______________________________ </w:t>
      </w:r>
      <w:proofErr w:type="spellStart"/>
      <w:r w:rsidRPr="00335DC6">
        <w:rPr>
          <w:sz w:val="18"/>
          <w:szCs w:val="18"/>
        </w:rPr>
        <w:t>Моб.тел</w:t>
      </w:r>
      <w:proofErr w:type="spellEnd"/>
      <w:r w:rsidRPr="00335DC6">
        <w:rPr>
          <w:sz w:val="18"/>
          <w:szCs w:val="18"/>
        </w:rPr>
        <w:t xml:space="preserve">:_________________________________   </w:t>
      </w:r>
      <w:proofErr w:type="spellStart"/>
      <w:r w:rsidRPr="00335DC6">
        <w:rPr>
          <w:sz w:val="18"/>
          <w:szCs w:val="18"/>
        </w:rPr>
        <w:t>Viber</w:t>
      </w:r>
      <w:proofErr w:type="spellEnd"/>
      <w:r w:rsidRPr="00335DC6">
        <w:rPr>
          <w:sz w:val="18"/>
          <w:szCs w:val="18"/>
        </w:rPr>
        <w:t>:__________________________________</w:t>
      </w:r>
    </w:p>
    <w:p w:rsidR="00BF385D" w:rsidRPr="00335DC6" w:rsidRDefault="00BF385D" w:rsidP="00D60183">
      <w:pPr>
        <w:tabs>
          <w:tab w:val="left" w:pos="284"/>
        </w:tabs>
        <w:jc w:val="both"/>
        <w:rPr>
          <w:sz w:val="18"/>
          <w:szCs w:val="18"/>
        </w:rPr>
      </w:pPr>
      <w:r w:rsidRPr="00335DC6">
        <w:rPr>
          <w:sz w:val="18"/>
          <w:szCs w:val="18"/>
        </w:rPr>
        <w:t>Вказана інформація підлягає письмовому оновленню щоразу після будь-якої зміни даних.</w:t>
      </w:r>
    </w:p>
    <w:p w:rsidR="00BF385D" w:rsidRPr="00335DC6" w:rsidRDefault="00D60183" w:rsidP="00D60183">
      <w:pPr>
        <w:tabs>
          <w:tab w:val="left" w:pos="284"/>
        </w:tabs>
        <w:jc w:val="both"/>
        <w:rPr>
          <w:sz w:val="18"/>
          <w:szCs w:val="18"/>
        </w:rPr>
      </w:pPr>
      <w:r w:rsidRPr="00335DC6">
        <w:rPr>
          <w:sz w:val="18"/>
          <w:szCs w:val="18"/>
        </w:rPr>
        <w:t>8</w:t>
      </w:r>
      <w:r w:rsidR="00BF385D" w:rsidRPr="00335DC6">
        <w:rPr>
          <w:sz w:val="18"/>
          <w:szCs w:val="18"/>
        </w:rPr>
        <w:t>.</w:t>
      </w:r>
      <w:r w:rsidR="00BF385D" w:rsidRPr="00335DC6">
        <w:rPr>
          <w:sz w:val="18"/>
          <w:szCs w:val="18"/>
        </w:rPr>
        <w:tab/>
        <w:t>Невиконання споживачем заданих обсягів обмеження або самовільне переведення навантаження, заведеного під протиаварійні заходи</w:t>
      </w:r>
      <w:r w:rsidRPr="00335DC6">
        <w:rPr>
          <w:sz w:val="18"/>
          <w:szCs w:val="18"/>
        </w:rPr>
        <w:t xml:space="preserve"> (ГАВ,СГАВ)на інші джерела Оператора систем розподілу або самовільне перемикання Споживачем навантаження, внесеного до ГПВ, на джерела живлення навантаження аварійної броні</w:t>
      </w:r>
      <w:r w:rsidR="00BF385D" w:rsidRPr="00335DC6">
        <w:rPr>
          <w:sz w:val="18"/>
          <w:szCs w:val="18"/>
        </w:rPr>
        <w:t xml:space="preserve"> </w:t>
      </w:r>
      <w:r w:rsidRPr="00335DC6">
        <w:rPr>
          <w:sz w:val="18"/>
          <w:szCs w:val="18"/>
        </w:rPr>
        <w:t xml:space="preserve">електропостачання споживача, які не включені до ГПВ, </w:t>
      </w:r>
      <w:r w:rsidR="00BF385D" w:rsidRPr="00335DC6">
        <w:rPr>
          <w:sz w:val="18"/>
          <w:szCs w:val="18"/>
        </w:rPr>
        <w:t>дає Оператору системи право після попередження споживача про невиконання встановленого режиму та невжиття ним заходів щодо зниження навантаження протягом 10 хвилин відключити споживача від джерела електропостачання. Відповідальність за можливі негативні наслідки  такого відключення покладається на споживача.</w:t>
      </w:r>
    </w:p>
    <w:p w:rsidR="00BF385D" w:rsidRPr="00335DC6" w:rsidRDefault="00BF385D" w:rsidP="00D60183">
      <w:pPr>
        <w:pStyle w:val="a3"/>
        <w:numPr>
          <w:ilvl w:val="0"/>
          <w:numId w:val="4"/>
        </w:numPr>
        <w:tabs>
          <w:tab w:val="left" w:pos="284"/>
        </w:tabs>
        <w:ind w:left="0" w:firstLine="0"/>
        <w:jc w:val="both"/>
        <w:rPr>
          <w:sz w:val="18"/>
          <w:szCs w:val="18"/>
        </w:rPr>
      </w:pPr>
      <w:r w:rsidRPr="00335DC6">
        <w:rPr>
          <w:sz w:val="18"/>
          <w:szCs w:val="18"/>
        </w:rPr>
        <w:t>Споживач зобов’язаний надавати Оператору системи, дані щодо обсягів споживання, дані щодо активної та реактивної потужності, рівнів напруги в характерних точках мережі, інші дані щодо схеми електрозабезпечення та режиму роботи обладнання.</w:t>
      </w:r>
    </w:p>
    <w:p w:rsidR="00BF385D" w:rsidRPr="00335DC6" w:rsidRDefault="00BF385D" w:rsidP="00D60183">
      <w:pPr>
        <w:pStyle w:val="a3"/>
        <w:numPr>
          <w:ilvl w:val="0"/>
          <w:numId w:val="4"/>
        </w:numPr>
        <w:tabs>
          <w:tab w:val="left" w:pos="284"/>
        </w:tabs>
        <w:ind w:left="0" w:firstLine="0"/>
        <w:jc w:val="both"/>
        <w:rPr>
          <w:sz w:val="18"/>
          <w:szCs w:val="18"/>
        </w:rPr>
      </w:pPr>
      <w:r w:rsidRPr="00335DC6">
        <w:rPr>
          <w:sz w:val="18"/>
          <w:szCs w:val="18"/>
        </w:rPr>
        <w:t>Оператор системи має право призначити додатковий контрольний вимір у характерний день.</w:t>
      </w:r>
    </w:p>
    <w:p w:rsidR="00BF385D" w:rsidRPr="00335DC6" w:rsidRDefault="00BF385D" w:rsidP="00D60183">
      <w:pPr>
        <w:pStyle w:val="a3"/>
        <w:numPr>
          <w:ilvl w:val="0"/>
          <w:numId w:val="4"/>
        </w:numPr>
        <w:tabs>
          <w:tab w:val="left" w:pos="284"/>
        </w:tabs>
        <w:ind w:left="0" w:firstLine="0"/>
        <w:jc w:val="both"/>
        <w:rPr>
          <w:sz w:val="18"/>
          <w:szCs w:val="18"/>
        </w:rPr>
      </w:pPr>
      <w:r w:rsidRPr="00335DC6">
        <w:rPr>
          <w:sz w:val="18"/>
          <w:szCs w:val="18"/>
        </w:rPr>
        <w:t>Визначення обсягів споживання активної та реактивної потужності здійснюється споживачем у відповідності до встановлених форм. Споживач несе відповідальність за достовірність даних, що подаються.</w:t>
      </w:r>
    </w:p>
    <w:p w:rsidR="00BF385D" w:rsidRPr="00335DC6" w:rsidRDefault="00BF385D" w:rsidP="00D60183">
      <w:pPr>
        <w:pStyle w:val="a3"/>
        <w:numPr>
          <w:ilvl w:val="0"/>
          <w:numId w:val="4"/>
        </w:numPr>
        <w:tabs>
          <w:tab w:val="left" w:pos="284"/>
        </w:tabs>
        <w:ind w:left="0" w:firstLine="0"/>
        <w:jc w:val="both"/>
        <w:rPr>
          <w:sz w:val="18"/>
          <w:szCs w:val="18"/>
        </w:rPr>
      </w:pPr>
      <w:r w:rsidRPr="00335DC6">
        <w:rPr>
          <w:sz w:val="18"/>
          <w:szCs w:val="18"/>
        </w:rPr>
        <w:t xml:space="preserve">Споживач зобов’язаний надати фактичні добові графіки споживання активної та реактивної потужності для доби максимального та мінімального власного попиту з урахуванням статистичних даних та\або умов виробництва. </w:t>
      </w:r>
    </w:p>
    <w:p w:rsidR="00BF385D" w:rsidRPr="00335DC6" w:rsidRDefault="00BF385D" w:rsidP="00D60183">
      <w:pPr>
        <w:pStyle w:val="a3"/>
        <w:numPr>
          <w:ilvl w:val="0"/>
          <w:numId w:val="4"/>
        </w:numPr>
        <w:tabs>
          <w:tab w:val="left" w:pos="284"/>
        </w:tabs>
        <w:ind w:left="0" w:firstLine="0"/>
        <w:jc w:val="both"/>
        <w:rPr>
          <w:sz w:val="18"/>
          <w:szCs w:val="18"/>
        </w:rPr>
      </w:pPr>
      <w:r w:rsidRPr="00335DC6">
        <w:rPr>
          <w:sz w:val="18"/>
          <w:szCs w:val="18"/>
        </w:rPr>
        <w:t>Споживач  зобов’язаний надати Оператору системи інформацію щодо наявних у нього установок компенсації реактивної потужності, які прямо або опосередковано приєднані до системи розподілу, у тому числі:</w:t>
      </w:r>
    </w:p>
    <w:p w:rsidR="00BF385D" w:rsidRPr="00335DC6" w:rsidRDefault="00BF385D" w:rsidP="00D60183">
      <w:pPr>
        <w:pStyle w:val="a3"/>
        <w:numPr>
          <w:ilvl w:val="0"/>
          <w:numId w:val="1"/>
        </w:numPr>
        <w:tabs>
          <w:tab w:val="left" w:pos="284"/>
        </w:tabs>
        <w:ind w:left="0" w:firstLine="0"/>
        <w:jc w:val="both"/>
        <w:rPr>
          <w:sz w:val="18"/>
          <w:szCs w:val="18"/>
        </w:rPr>
      </w:pPr>
      <w:r w:rsidRPr="00335DC6">
        <w:rPr>
          <w:sz w:val="18"/>
          <w:szCs w:val="18"/>
        </w:rPr>
        <w:t>номінальне індукційне або ємнісне навантаження та робочий діапазон регулювання;</w:t>
      </w:r>
    </w:p>
    <w:p w:rsidR="00BF385D" w:rsidRPr="00335DC6" w:rsidRDefault="00BF385D" w:rsidP="00D60183">
      <w:pPr>
        <w:pStyle w:val="a3"/>
        <w:numPr>
          <w:ilvl w:val="0"/>
          <w:numId w:val="1"/>
        </w:numPr>
        <w:tabs>
          <w:tab w:val="left" w:pos="284"/>
        </w:tabs>
        <w:ind w:left="0" w:firstLine="0"/>
        <w:jc w:val="both"/>
        <w:rPr>
          <w:sz w:val="18"/>
          <w:szCs w:val="18"/>
        </w:rPr>
      </w:pPr>
      <w:r w:rsidRPr="00335DC6">
        <w:rPr>
          <w:sz w:val="18"/>
          <w:szCs w:val="18"/>
        </w:rPr>
        <w:t>інформацію про наявність автоматичного керування зміною робочих параметрів;</w:t>
      </w:r>
    </w:p>
    <w:p w:rsidR="00BF385D" w:rsidRPr="00335DC6" w:rsidRDefault="00BF385D" w:rsidP="00D60183">
      <w:pPr>
        <w:pStyle w:val="a3"/>
        <w:numPr>
          <w:ilvl w:val="0"/>
          <w:numId w:val="1"/>
        </w:numPr>
        <w:tabs>
          <w:tab w:val="left" w:pos="284"/>
        </w:tabs>
        <w:ind w:left="0" w:firstLine="0"/>
        <w:jc w:val="both"/>
        <w:rPr>
          <w:sz w:val="18"/>
          <w:szCs w:val="18"/>
        </w:rPr>
      </w:pPr>
      <w:r w:rsidRPr="00335DC6">
        <w:rPr>
          <w:sz w:val="18"/>
          <w:szCs w:val="18"/>
        </w:rPr>
        <w:t>точку приєднання до системи розподілу;</w:t>
      </w:r>
    </w:p>
    <w:p w:rsidR="00BF385D" w:rsidRPr="00335DC6" w:rsidRDefault="00BF385D" w:rsidP="00D60183">
      <w:pPr>
        <w:pStyle w:val="a3"/>
        <w:numPr>
          <w:ilvl w:val="0"/>
          <w:numId w:val="1"/>
        </w:numPr>
        <w:tabs>
          <w:tab w:val="left" w:pos="284"/>
        </w:tabs>
        <w:ind w:left="0" w:firstLine="0"/>
        <w:jc w:val="both"/>
        <w:rPr>
          <w:sz w:val="18"/>
          <w:szCs w:val="18"/>
        </w:rPr>
      </w:pPr>
      <w:r w:rsidRPr="00335DC6">
        <w:rPr>
          <w:sz w:val="18"/>
          <w:szCs w:val="18"/>
        </w:rPr>
        <w:t>схеми із зосередженими параметрами провідності</w:t>
      </w:r>
    </w:p>
    <w:p w:rsidR="00BF385D" w:rsidRPr="00335DC6" w:rsidRDefault="00BF385D" w:rsidP="00D60183">
      <w:pPr>
        <w:pStyle w:val="a3"/>
        <w:numPr>
          <w:ilvl w:val="0"/>
          <w:numId w:val="4"/>
        </w:numPr>
        <w:tabs>
          <w:tab w:val="left" w:pos="284"/>
        </w:tabs>
        <w:ind w:left="0" w:firstLine="0"/>
        <w:jc w:val="both"/>
        <w:rPr>
          <w:sz w:val="18"/>
          <w:szCs w:val="18"/>
        </w:rPr>
      </w:pPr>
      <w:r w:rsidRPr="00335DC6">
        <w:rPr>
          <w:sz w:val="18"/>
          <w:szCs w:val="18"/>
        </w:rPr>
        <w:t>Споживач зобов’язаний надавати інформацію, яка за оцінками Оператора системи потрібна для перспективного планування, у випадку отримання відповідного запиту.</w:t>
      </w:r>
    </w:p>
    <w:p w:rsidR="00BF385D" w:rsidRPr="00335DC6" w:rsidRDefault="00BF385D" w:rsidP="00D60183">
      <w:pPr>
        <w:pStyle w:val="a3"/>
        <w:numPr>
          <w:ilvl w:val="0"/>
          <w:numId w:val="4"/>
        </w:numPr>
        <w:tabs>
          <w:tab w:val="left" w:pos="284"/>
        </w:tabs>
        <w:ind w:left="0" w:firstLine="0"/>
        <w:jc w:val="both"/>
        <w:rPr>
          <w:sz w:val="18"/>
          <w:szCs w:val="18"/>
        </w:rPr>
      </w:pPr>
      <w:r w:rsidRPr="00335DC6">
        <w:rPr>
          <w:sz w:val="18"/>
          <w:szCs w:val="18"/>
        </w:rPr>
        <w:t>У відповідності з вимогами Правил роздрібного ринку електричної енергії Споживач зобов’язаний:</w:t>
      </w:r>
    </w:p>
    <w:p w:rsidR="00CE43EE" w:rsidRPr="00335DC6" w:rsidRDefault="00CE43EE" w:rsidP="00BA1FAB">
      <w:pPr>
        <w:tabs>
          <w:tab w:val="left" w:pos="284"/>
        </w:tabs>
        <w:jc w:val="both"/>
        <w:rPr>
          <w:sz w:val="18"/>
          <w:szCs w:val="18"/>
        </w:rPr>
      </w:pPr>
      <w:r w:rsidRPr="00335DC6">
        <w:rPr>
          <w:sz w:val="18"/>
          <w:szCs w:val="18"/>
        </w:rPr>
        <w:t>- безперешкодний доступ у будь-яку годину доби представникам Оператора системи розподілу, центрального органу виконавчої влади, що реалізує державну політику у сфері нагляду (контролю) в галузі електроенергетики за їх службовими посвідченнями до усіх електроустановок для контролю за виконанням заданого обмеження і відключення та дотриманням встановлених режимів;</w:t>
      </w:r>
    </w:p>
    <w:p w:rsidR="00CE43EE" w:rsidRPr="00335DC6" w:rsidRDefault="00CE43EE" w:rsidP="00BA1FAB">
      <w:pPr>
        <w:tabs>
          <w:tab w:val="left" w:pos="284"/>
        </w:tabs>
        <w:jc w:val="both"/>
        <w:rPr>
          <w:sz w:val="18"/>
          <w:szCs w:val="18"/>
        </w:rPr>
      </w:pPr>
      <w:r w:rsidRPr="00335DC6">
        <w:rPr>
          <w:sz w:val="18"/>
          <w:szCs w:val="18"/>
        </w:rPr>
        <w:t>- вжиття відповідних заходів щодо гарантування безпеки людей, збереження устаткування та матеріальних цінностей у разі відключення лінії (фідера) живлення, заведеної під дію ГАВ, СГАВ, АЧР, САВН від електромереж;</w:t>
      </w:r>
    </w:p>
    <w:p w:rsidR="00CE43EE" w:rsidRPr="00335DC6" w:rsidRDefault="00CE43EE" w:rsidP="00BA1FAB">
      <w:pPr>
        <w:tabs>
          <w:tab w:val="left" w:pos="284"/>
        </w:tabs>
        <w:jc w:val="both"/>
        <w:rPr>
          <w:sz w:val="18"/>
          <w:szCs w:val="18"/>
        </w:rPr>
      </w:pPr>
      <w:r w:rsidRPr="00335DC6">
        <w:rPr>
          <w:sz w:val="18"/>
          <w:szCs w:val="18"/>
        </w:rPr>
        <w:t>- відповідні переключення існуючих струмоприймачів І категорії на джерела електропостачання, які не відключаються;</w:t>
      </w:r>
    </w:p>
    <w:p w:rsidR="00CE43EE" w:rsidRPr="00335DC6" w:rsidRDefault="00CE43EE" w:rsidP="00BA1FAB">
      <w:pPr>
        <w:tabs>
          <w:tab w:val="left" w:pos="284"/>
        </w:tabs>
        <w:jc w:val="both"/>
        <w:rPr>
          <w:sz w:val="18"/>
          <w:szCs w:val="18"/>
        </w:rPr>
      </w:pPr>
      <w:r w:rsidRPr="00335DC6">
        <w:rPr>
          <w:sz w:val="18"/>
          <w:szCs w:val="18"/>
        </w:rPr>
        <w:t xml:space="preserve">- інформування про можливість введення графіків обмеження та відключення всіх </w:t>
      </w:r>
      <w:proofErr w:type="spellStart"/>
      <w:r w:rsidRPr="00335DC6">
        <w:rPr>
          <w:sz w:val="18"/>
          <w:szCs w:val="18"/>
        </w:rPr>
        <w:t>субспоживачів</w:t>
      </w:r>
      <w:proofErr w:type="spellEnd"/>
      <w:r w:rsidRPr="00335DC6">
        <w:rPr>
          <w:sz w:val="18"/>
          <w:szCs w:val="18"/>
        </w:rPr>
        <w:t>, які приєднані до власних мереж Споживача;</w:t>
      </w:r>
    </w:p>
    <w:p w:rsidR="00BF385D" w:rsidRPr="00335DC6" w:rsidRDefault="00CE43EE" w:rsidP="00BF385D">
      <w:pPr>
        <w:contextualSpacing/>
        <w:rPr>
          <w:sz w:val="20"/>
          <w:szCs w:val="20"/>
        </w:rPr>
      </w:pPr>
      <w:r w:rsidRPr="00335DC6">
        <w:rPr>
          <w:sz w:val="18"/>
          <w:szCs w:val="18"/>
        </w:rPr>
        <w:t xml:space="preserve">- збереження пристроїв АЧР та </w:t>
      </w:r>
      <w:proofErr w:type="spellStart"/>
      <w:r w:rsidRPr="00335DC6">
        <w:rPr>
          <w:sz w:val="18"/>
          <w:szCs w:val="18"/>
        </w:rPr>
        <w:t>телевимірів</w:t>
      </w:r>
      <w:proofErr w:type="spellEnd"/>
      <w:r w:rsidRPr="00335DC6">
        <w:rPr>
          <w:sz w:val="18"/>
          <w:szCs w:val="18"/>
        </w:rPr>
        <w:t>, встановлених у Споживача.</w:t>
      </w:r>
      <w:r w:rsidRPr="00335DC6">
        <w:rPr>
          <w:sz w:val="18"/>
          <w:szCs w:val="18"/>
        </w:rPr>
        <w:cr/>
      </w:r>
    </w:p>
    <w:p w:rsidR="00BF385D" w:rsidRPr="00335DC6" w:rsidRDefault="00BF385D" w:rsidP="00BF385D">
      <w:pPr>
        <w:contextualSpacing/>
        <w:jc w:val="center"/>
        <w:rPr>
          <w:b/>
          <w:sz w:val="18"/>
          <w:szCs w:val="18"/>
        </w:rPr>
      </w:pPr>
      <w:r w:rsidRPr="00335DC6">
        <w:rPr>
          <w:b/>
          <w:sz w:val="18"/>
          <w:szCs w:val="18"/>
        </w:rPr>
        <w:t>Підписи сторін</w:t>
      </w:r>
    </w:p>
    <w:p w:rsidR="00D60183" w:rsidRPr="00335DC6" w:rsidRDefault="00D60183" w:rsidP="00BF385D">
      <w:pPr>
        <w:contextualSpacing/>
        <w:jc w:val="center"/>
        <w:rPr>
          <w:b/>
          <w:sz w:val="18"/>
          <w:szCs w:val="18"/>
          <w:lang w:val="ru-RU"/>
        </w:rPr>
      </w:pPr>
    </w:p>
    <w:p w:rsidR="00BF385D" w:rsidRPr="00335DC6" w:rsidRDefault="00BF385D" w:rsidP="00BF385D">
      <w:pPr>
        <w:contextualSpacing/>
        <w:jc w:val="both"/>
        <w:rPr>
          <w:b/>
          <w:sz w:val="18"/>
          <w:szCs w:val="18"/>
        </w:rPr>
      </w:pPr>
      <w:r w:rsidRPr="00335DC6">
        <w:rPr>
          <w:b/>
          <w:sz w:val="18"/>
          <w:szCs w:val="18"/>
        </w:rPr>
        <w:t>Оператор системи:_________</w:t>
      </w:r>
      <w:r w:rsidRPr="00335DC6">
        <w:rPr>
          <w:b/>
          <w:sz w:val="18"/>
          <w:szCs w:val="18"/>
        </w:rPr>
        <w:tab/>
        <w:t xml:space="preserve"> </w:t>
      </w:r>
      <w:r w:rsidRPr="00335DC6">
        <w:rPr>
          <w:b/>
          <w:sz w:val="18"/>
          <w:szCs w:val="18"/>
        </w:rPr>
        <w:tab/>
      </w:r>
      <w:r w:rsidRPr="00335DC6">
        <w:rPr>
          <w:b/>
          <w:sz w:val="18"/>
          <w:szCs w:val="18"/>
        </w:rPr>
        <w:tab/>
      </w:r>
      <w:r w:rsidRPr="00335DC6">
        <w:rPr>
          <w:b/>
          <w:sz w:val="18"/>
          <w:szCs w:val="18"/>
        </w:rPr>
        <w:tab/>
      </w:r>
      <w:r w:rsidRPr="00335DC6">
        <w:rPr>
          <w:b/>
          <w:sz w:val="18"/>
          <w:szCs w:val="18"/>
        </w:rPr>
        <w:tab/>
      </w:r>
      <w:r w:rsidRPr="00335DC6">
        <w:rPr>
          <w:b/>
          <w:sz w:val="18"/>
          <w:szCs w:val="18"/>
        </w:rPr>
        <w:tab/>
        <w:t xml:space="preserve">               Споживач: </w:t>
      </w:r>
      <w:r w:rsidRPr="00335DC6">
        <w:rPr>
          <w:b/>
          <w:color w:val="000000"/>
        </w:rPr>
        <w:t>______________________</w:t>
      </w:r>
    </w:p>
    <w:p w:rsidR="00BF385D" w:rsidRPr="00335DC6" w:rsidRDefault="00BF385D" w:rsidP="00BF385D">
      <w:pPr>
        <w:contextualSpacing/>
        <w:jc w:val="both"/>
        <w:rPr>
          <w:b/>
          <w:sz w:val="18"/>
          <w:szCs w:val="18"/>
        </w:rPr>
      </w:pPr>
      <w:r w:rsidRPr="00335DC6">
        <w:rPr>
          <w:b/>
          <w:sz w:val="18"/>
          <w:szCs w:val="18"/>
        </w:rPr>
        <w:t xml:space="preserve">___________________________  </w:t>
      </w:r>
      <w:r w:rsidRPr="00335DC6">
        <w:rPr>
          <w:b/>
          <w:sz w:val="18"/>
          <w:szCs w:val="18"/>
        </w:rPr>
        <w:tab/>
      </w:r>
      <w:r w:rsidRPr="00335DC6">
        <w:rPr>
          <w:b/>
          <w:sz w:val="18"/>
          <w:szCs w:val="18"/>
        </w:rPr>
        <w:tab/>
      </w:r>
      <w:r w:rsidRPr="00335DC6">
        <w:rPr>
          <w:b/>
          <w:sz w:val="18"/>
          <w:szCs w:val="18"/>
        </w:rPr>
        <w:tab/>
      </w:r>
      <w:r w:rsidRPr="00335DC6">
        <w:rPr>
          <w:b/>
          <w:sz w:val="18"/>
          <w:szCs w:val="18"/>
        </w:rPr>
        <w:tab/>
      </w:r>
      <w:r w:rsidRPr="00335DC6">
        <w:rPr>
          <w:b/>
          <w:sz w:val="18"/>
          <w:szCs w:val="18"/>
        </w:rPr>
        <w:tab/>
      </w:r>
      <w:r w:rsidRPr="00335DC6">
        <w:rPr>
          <w:b/>
          <w:sz w:val="18"/>
          <w:szCs w:val="18"/>
        </w:rPr>
        <w:tab/>
      </w:r>
      <w:r w:rsidRPr="00335DC6">
        <w:rPr>
          <w:b/>
          <w:sz w:val="18"/>
          <w:szCs w:val="18"/>
        </w:rPr>
        <w:tab/>
        <w:t>____________________________________</w:t>
      </w:r>
    </w:p>
    <w:p w:rsidR="00BF385D" w:rsidRPr="00335DC6" w:rsidRDefault="00BF385D" w:rsidP="00BF385D">
      <w:pPr>
        <w:contextualSpacing/>
        <w:jc w:val="both"/>
        <w:rPr>
          <w:b/>
          <w:sz w:val="18"/>
          <w:szCs w:val="18"/>
        </w:rPr>
      </w:pPr>
      <w:r w:rsidRPr="00335DC6">
        <w:rPr>
          <w:b/>
          <w:sz w:val="18"/>
          <w:szCs w:val="18"/>
        </w:rPr>
        <w:t>___________________________</w:t>
      </w:r>
      <w:r w:rsidRPr="00335DC6">
        <w:rPr>
          <w:b/>
          <w:sz w:val="18"/>
          <w:szCs w:val="18"/>
        </w:rPr>
        <w:tab/>
      </w:r>
      <w:r w:rsidRPr="00335DC6">
        <w:rPr>
          <w:b/>
          <w:sz w:val="18"/>
          <w:szCs w:val="18"/>
        </w:rPr>
        <w:tab/>
      </w:r>
      <w:r w:rsidRPr="00335DC6">
        <w:rPr>
          <w:b/>
          <w:sz w:val="18"/>
          <w:szCs w:val="18"/>
        </w:rPr>
        <w:tab/>
      </w:r>
      <w:r w:rsidRPr="00335DC6">
        <w:rPr>
          <w:b/>
          <w:sz w:val="18"/>
          <w:szCs w:val="18"/>
        </w:rPr>
        <w:tab/>
      </w:r>
      <w:r w:rsidRPr="00335DC6">
        <w:rPr>
          <w:b/>
          <w:sz w:val="18"/>
          <w:szCs w:val="18"/>
        </w:rPr>
        <w:tab/>
      </w:r>
      <w:r w:rsidRPr="00335DC6">
        <w:rPr>
          <w:b/>
          <w:sz w:val="18"/>
          <w:szCs w:val="18"/>
        </w:rPr>
        <w:tab/>
      </w:r>
      <w:r w:rsidRPr="00335DC6">
        <w:rPr>
          <w:b/>
          <w:sz w:val="18"/>
          <w:szCs w:val="18"/>
        </w:rPr>
        <w:tab/>
        <w:t>_____________________________________</w:t>
      </w:r>
    </w:p>
    <w:p w:rsidR="00BF385D" w:rsidRPr="007D1B5A" w:rsidRDefault="00BF385D" w:rsidP="00BF385D">
      <w:pPr>
        <w:contextualSpacing/>
        <w:jc w:val="both"/>
        <w:rPr>
          <w:b/>
          <w:sz w:val="18"/>
          <w:szCs w:val="18"/>
        </w:rPr>
      </w:pPr>
      <w:r w:rsidRPr="00335DC6">
        <w:rPr>
          <w:b/>
          <w:sz w:val="18"/>
          <w:szCs w:val="18"/>
        </w:rPr>
        <w:t>М.П. «___»________________20___р.</w:t>
      </w:r>
      <w:r w:rsidRPr="00335DC6">
        <w:rPr>
          <w:b/>
          <w:sz w:val="18"/>
          <w:szCs w:val="18"/>
        </w:rPr>
        <w:tab/>
      </w:r>
      <w:r w:rsidRPr="00335DC6">
        <w:rPr>
          <w:b/>
          <w:sz w:val="18"/>
          <w:szCs w:val="18"/>
        </w:rPr>
        <w:tab/>
      </w:r>
      <w:r w:rsidRPr="00335DC6">
        <w:rPr>
          <w:b/>
          <w:sz w:val="18"/>
          <w:szCs w:val="18"/>
        </w:rPr>
        <w:tab/>
      </w:r>
      <w:r w:rsidRPr="00335DC6">
        <w:rPr>
          <w:b/>
          <w:sz w:val="18"/>
          <w:szCs w:val="18"/>
        </w:rPr>
        <w:tab/>
      </w:r>
      <w:r w:rsidRPr="00335DC6">
        <w:rPr>
          <w:b/>
          <w:sz w:val="18"/>
          <w:szCs w:val="18"/>
        </w:rPr>
        <w:tab/>
      </w:r>
      <w:r w:rsidRPr="00335DC6">
        <w:rPr>
          <w:b/>
          <w:sz w:val="18"/>
          <w:szCs w:val="18"/>
        </w:rPr>
        <w:tab/>
        <w:t>М.П. «____»_____________________20___р.</w:t>
      </w:r>
    </w:p>
    <w:p w:rsidR="00072C64" w:rsidRDefault="00072C64" w:rsidP="00BF385D">
      <w:pPr>
        <w:tabs>
          <w:tab w:val="left" w:pos="0"/>
        </w:tabs>
        <w:ind w:left="-426" w:firstLine="426"/>
      </w:pPr>
    </w:p>
    <w:sectPr w:rsidR="00072C64" w:rsidSect="00BF385D">
      <w:pgSz w:w="11906" w:h="16838"/>
      <w:pgMar w:top="28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701EA"/>
    <w:multiLevelType w:val="hybridMultilevel"/>
    <w:tmpl w:val="E9D0681E"/>
    <w:lvl w:ilvl="0" w:tplc="2ED054D6">
      <w:start w:val="1"/>
      <w:numFmt w:val="decimal"/>
      <w:lvlText w:val="%1."/>
      <w:lvlJc w:val="left"/>
      <w:pPr>
        <w:ind w:left="76" w:hanging="360"/>
      </w:pPr>
      <w:rPr>
        <w:rFonts w:eastAsia="Times New Roman"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15:restartNumberingAfterBreak="0">
    <w:nsid w:val="0E7A1645"/>
    <w:multiLevelType w:val="hybridMultilevel"/>
    <w:tmpl w:val="2AFC740A"/>
    <w:lvl w:ilvl="0" w:tplc="6346EC62">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B5E43F3"/>
    <w:multiLevelType w:val="hybridMultilevel"/>
    <w:tmpl w:val="FA74E568"/>
    <w:lvl w:ilvl="0" w:tplc="0419000F">
      <w:start w:val="8"/>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5C0CF9"/>
    <w:multiLevelType w:val="hybridMultilevel"/>
    <w:tmpl w:val="CEB48D10"/>
    <w:lvl w:ilvl="0" w:tplc="92460CFE">
      <w:start w:val="4"/>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5D"/>
    <w:rsid w:val="00072C64"/>
    <w:rsid w:val="0014702B"/>
    <w:rsid w:val="00287831"/>
    <w:rsid w:val="0030014A"/>
    <w:rsid w:val="00335DC6"/>
    <w:rsid w:val="004D59E3"/>
    <w:rsid w:val="00761C3A"/>
    <w:rsid w:val="00941E43"/>
    <w:rsid w:val="00A040E1"/>
    <w:rsid w:val="00A235F7"/>
    <w:rsid w:val="00B23ED4"/>
    <w:rsid w:val="00BA1FAB"/>
    <w:rsid w:val="00BF385D"/>
    <w:rsid w:val="00CE43EE"/>
    <w:rsid w:val="00CE460B"/>
    <w:rsid w:val="00D52CD9"/>
    <w:rsid w:val="00D60183"/>
    <w:rsid w:val="00D81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5F4AC-921B-44C6-82F2-F9E1B265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5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85D"/>
    <w:pPr>
      <w:ind w:left="720"/>
      <w:contextualSpacing/>
    </w:pPr>
  </w:style>
  <w:style w:type="paragraph" w:styleId="a4">
    <w:name w:val="Balloon Text"/>
    <w:basedOn w:val="a"/>
    <w:link w:val="a5"/>
    <w:uiPriority w:val="99"/>
    <w:semiHidden/>
    <w:unhideWhenUsed/>
    <w:rsid w:val="00CE43EE"/>
    <w:rPr>
      <w:rFonts w:ascii="Segoe UI" w:hAnsi="Segoe UI" w:cs="Segoe UI"/>
      <w:sz w:val="18"/>
      <w:szCs w:val="18"/>
    </w:rPr>
  </w:style>
  <w:style w:type="character" w:customStyle="1" w:styleId="a5">
    <w:name w:val="Текст у виносці Знак"/>
    <w:basedOn w:val="a0"/>
    <w:link w:val="a4"/>
    <w:uiPriority w:val="99"/>
    <w:semiHidden/>
    <w:rsid w:val="00CE43EE"/>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A6F22-F0C0-4601-BED2-D693D9C7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3733</Words>
  <Characters>2128</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ROE</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Semeshchuk</dc:creator>
  <cp:lastModifiedBy>Artur Kutukov</cp:lastModifiedBy>
  <cp:revision>1</cp:revision>
  <dcterms:created xsi:type="dcterms:W3CDTF">2025-09-19T12:28:00Z</dcterms:created>
  <dcterms:modified xsi:type="dcterms:W3CDTF">2025-09-19T12:28:00Z</dcterms:modified>
</cp:coreProperties>
</file>