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5" w:rsidRPr="00A9009D" w:rsidRDefault="00195292" w:rsidP="00D14A15">
      <w:pPr>
        <w:tabs>
          <w:tab w:val="left" w:pos="0"/>
        </w:tabs>
        <w:spacing w:after="0" w:line="240" w:lineRule="auto"/>
        <w:ind w:left="8080" w:hanging="1417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*</w:t>
      </w:r>
      <w:r w:rsidR="00D14A15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Додаток №7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до Договору споживача про</w:t>
      </w:r>
      <w:r w:rsidR="00D14A15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надання 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080" w:hanging="1417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послуг з розподілу (передачі) електричної енергії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931" w:hanging="1984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«____»____________  20___ р. № __________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left="8080" w:hanging="297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Порядок розрахунку втрат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електроенергії в мережі споживача (субспоживача)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  <w:tab w:val="left" w:pos="9781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Цей порядок складено відповідно до Правил роздрібного ринку електричної енергії, затверджених постановою НКРЕКП від 14.03.2018 № 312, Кодексу комерційного обліку електричної енергії, затвердженого постановою НКРЕКП від 14.03.2018 № 311 та Методичних рекомендацій визначення технологічних витрат електроенергії в трансформаторах і лініях електропередавання, затверджених наказом Міненерговугілля України від 21.06.2013 № 399 (далі Методичні рекомендації).</w:t>
      </w:r>
    </w:p>
    <w:p w:rsidR="00D14A15" w:rsidRPr="00A9009D" w:rsidRDefault="00D14A15" w:rsidP="00D14A15">
      <w:pPr>
        <w:tabs>
          <w:tab w:val="left" w:pos="0"/>
          <w:tab w:val="left" w:pos="9781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1. Для розрахунку втрат використано дані, зазначені в Таблицях 1-</w:t>
      </w:r>
      <w:r w:rsidR="007712E4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3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Акті розмежування балансової належності електромереж та експлуатаційної відповідальності сторін та однолінійній схемі, що є додатками 5 та 6 до цього договору.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 Визначення втрат в елементах електричної мережі.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Таблиці з вихідними даними (Таблиця 1-</w:t>
      </w:r>
      <w:r w:rsidR="00246588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3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) для непобутових споживачів заповнюються у разі: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встановлення розрахункових засобів обліку Споживача не на межі балансової належності його електромереж;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використання технологічних електричних мереж Споживача для передачі електричної енергії субспоживачам або для транспортування електричної енергії в мережі Оператора системи розподілу, (втрати спільного використання);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якщо мережі інших власників, що використовуються для передачі електричної енергії Споживачу, субспоживачу (до точки вимірювання) або в мережі Оператора системи розподілу, знаходяться під обліком Споживача (втрати транспортування).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Оператор системи розподілу визначає </w:t>
      </w:r>
      <w:r w:rsidRPr="00A9009D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розрахунковим шляхом обсяги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 електричної енергії в технологічних електричних мережах Споживача автоматично щомісяця за даними споживання активної та реактивної електричної енергії згідно з пунктами Методичних рекомендацій, зазначеними в Розділах 2.1, 2.2, 2.3 цього додатку. Обсяги втрат електричної енергії додаються до (віднімаються від) обсягів, визначених за показами засобів обліку Споживача залежно від схеми приєднання засобів обліку.</w:t>
      </w:r>
    </w:p>
    <w:p w:rsidR="00D14A15" w:rsidRPr="00A9009D" w:rsidRDefault="00D14A15" w:rsidP="00D14A15">
      <w:pPr>
        <w:tabs>
          <w:tab w:val="left" w:pos="0"/>
          <w:tab w:val="left" w:pos="3460"/>
          <w:tab w:val="left" w:pos="9923"/>
        </w:tabs>
        <w:spacing w:after="0" w:line="240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Для побутових споживачів таблиці з вихідними даними (Таблиця 1-2) заповнюються у разі, якщо у власності споживача перебувають електричні мережі напругою 1 кВ та вище, а прилад обліку встановлений не на межі розподілу електромереж.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на ділянці електромережі від межі розподілу до місця встановлення приладу обліку відносяться на рахунок власника зазначеної ділянки електромережі.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в мережах Основного споживача, пов'язані з передачею електричної енергії Субспоживачам, враховуються пропорційно до частки її споживання різними Субспоживачами. Відповідно до існуючої на момент оформлення даного Договору схеми живлення Споживача та з урахуванням місць встановлення засобів обліку електричної енергії при розрахунках за спожиту електричну енергію (необхідне відмітити).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 разі повного відключення від електропостачання струмоприймачів основного споживача всі втрати електричної енергії у мережах основного споживача розподіляються між субспоживачами.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Умови щодо розрахунку втрат електричної енергії в мережах споживача, які не визначенні та не врегульовані  умовами договору та  цим додатком, визначаються у відповідності до вимог чинного за</w:t>
      </w:r>
      <w:r w:rsidR="007712E4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к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онодавства України, в тому числі  Методичних рекомендацій визначення технологічних втрат електричної енергії в трансформаторах та лініях електропередавання, що затверджені наказом Міненерговугілля від 21.06.2013 р. № 399.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2.1. Розрахунок втрат електроенергії в трансформаторах і автотрансформаторах.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2.1.1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А втрати визначаються згідно з п.7.1 Методичних рекомендацій за формулами: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1.75pt" o:ole="">
            <v:imagedata r:id="rId7" o:title=""/>
          </v:shape>
          <o:OLEObject Type="Embed" ProgID="Equation.3" ShapeID="_x0000_i1025" DrawAspect="Content" ObjectID="_1739627249" r:id="rId8"/>
        </w:objec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vertAlign w:val="superscript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(кВт·год)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120" w:dyaOrig="400">
          <v:shape id="_x0000_i1026" type="#_x0000_t75" style="width:228pt;height:23.25pt" o:ole="">
            <v:imagedata r:id="rId9" o:title=""/>
          </v:shape>
          <o:OLEObject Type="Embed" ProgID="Equation.3" ShapeID="_x0000_i1026" DrawAspect="Content" ObjectID="_1739627250" r:id="rId10"/>
        </w:objec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(кВАр·год)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60" w:dyaOrig="400">
          <v:shape id="_x0000_i1027" type="#_x0000_t75" style="width:12pt;height:18pt" o:ole="">
            <v:imagedata r:id="rId11" o:title=""/>
          </v:shape>
          <o:OLEObject Type="Embed" ProgID="Equation.3" ShapeID="_x0000_i1027" DrawAspect="Content" ObjectID="_1739627251" r:id="rId1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середнє протягом розрахункового періоду діюче значення сили струму трансформатора, А;</w:t>
      </w:r>
    </w:p>
    <w:p w:rsidR="00D14A15" w:rsidRPr="00A9009D" w:rsidRDefault="00D14A15" w:rsidP="00E553CE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28" type="#_x0000_t75" style="width:18pt;height:18.75pt" o:ole="">
            <v:imagedata r:id="rId13" o:title=""/>
          </v:shape>
          <o:OLEObject Type="Embed" ProgID="Equation.3" ShapeID="_x0000_i1028" DrawAspect="Content" ObjectID="_1739627252" r:id="rId1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коефіцієнт форми графіка навантаження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;</w:t>
      </w:r>
    </w:p>
    <w:p w:rsidR="00D14A15" w:rsidRPr="00A9009D" w:rsidRDefault="00D14A15" w:rsidP="00E553CE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320" w:dyaOrig="340">
          <v:shape id="_x0000_i1029" type="#_x0000_t75" style="width:18.75pt;height:19.5pt" o:ole="">
            <v:imagedata r:id="rId15" o:title=""/>
          </v:shape>
          <o:OLEObject Type="Embed" ProgID="Equation.3" ShapeID="_x0000_i1029" DrawAspect="Content" ObjectID="_1739627253" r:id="rId1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активний опір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Ом.;</w:t>
      </w:r>
    </w:p>
    <w:p w:rsidR="00D14A15" w:rsidRPr="00A9009D" w:rsidRDefault="00D14A15" w:rsidP="00E553CE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2"/>
          <w:sz w:val="18"/>
          <w:szCs w:val="18"/>
          <w:lang w:val="uk-UA" w:eastAsia="uk-UA"/>
        </w:rPr>
        <w:object w:dxaOrig="520" w:dyaOrig="360">
          <v:shape id="_x0000_i1030" type="#_x0000_t75" style="width:29.25pt;height:19.5pt" o:ole="">
            <v:imagedata r:id="rId17" o:title=""/>
          </v:shape>
          <o:OLEObject Type="Embed" ProgID="Equation.3" ShapeID="_x0000_i1030" DrawAspect="Content" ObjectID="_1739627254" r:id="rId1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втрати неробочого ходу трансформатора, кВт;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360" w:dyaOrig="340">
          <v:shape id="_x0000_i1031" type="#_x0000_t75" style="width:19.5pt;height:18.75pt" o:ole="">
            <v:imagedata r:id="rId19" o:title=""/>
          </v:shape>
          <o:OLEObject Type="Embed" ProgID="Equation.3" ShapeID="_x0000_i1031" DrawAspect="Content" ObjectID="_1739627255" r:id="rId20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реактивний опір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трансформатора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Ом;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2"/>
          <w:sz w:val="18"/>
          <w:szCs w:val="18"/>
          <w:lang w:val="uk-UA" w:eastAsia="uk-UA"/>
        </w:rPr>
        <w:object w:dxaOrig="560" w:dyaOrig="360">
          <v:shape id="_x0000_i1032" type="#_x0000_t75" style="width:29.25pt;height:18.75pt" o:ole="">
            <v:imagedata r:id="rId21" o:title=""/>
          </v:shape>
          <o:OLEObject Type="Embed" ProgID="Equation.3" ShapeID="_x0000_i1032" DrawAspect="Content" ObjectID="_1739627256" r:id="rId2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реактивна потужність втрат неробочого  ходу трансформатора, кВАр;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33" type="#_x0000_t75" style="width:18pt;height:19.5pt" o:ole="">
            <v:imagedata r:id="rId23" o:title=""/>
          </v:shape>
          <o:OLEObject Type="Embed" ProgID="Equation.3" ShapeID="_x0000_i1033" DrawAspect="Content" ObjectID="_1739627257" r:id="rId2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трансформатора під навантаженням протягом розрахункового періоду, години;</w:t>
      </w:r>
    </w:p>
    <w:p w:rsidR="00D14A15" w:rsidRPr="00A9009D" w:rsidRDefault="00D14A15" w:rsidP="00E553CE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34" type="#_x0000_t75" style="width:18pt;height:19.5pt" o:ole="">
            <v:imagedata r:id="rId25" o:title=""/>
          </v:shape>
          <o:OLEObject Type="Embed" ProgID="Equation.3" ShapeID="_x0000_i1034" DrawAspect="Content" ObjectID="_1739627258" r:id="rId2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находження трансформатора під напругою протягом розрахункового періоду, години.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Б втрати визначаються згідно з п.7.3 Методичних рекомендацій.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наведені в Таблиці 1.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7081" w:right="29" w:firstLine="70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                          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1</w:t>
      </w:r>
    </w:p>
    <w:tbl>
      <w:tblPr>
        <w:tblW w:w="495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1128"/>
        <w:gridCol w:w="1125"/>
        <w:gridCol w:w="520"/>
        <w:gridCol w:w="557"/>
        <w:gridCol w:w="993"/>
        <w:gridCol w:w="1545"/>
        <w:gridCol w:w="1377"/>
        <w:gridCol w:w="2634"/>
      </w:tblGrid>
      <w:tr w:rsidR="00AD4F91" w:rsidRPr="00A9009D" w:rsidTr="00D54AFA">
        <w:trPr>
          <w:trHeight w:val="292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Точка обліку</w:t>
            </w:r>
          </w:p>
          <w:p w:rsidR="00AD4F91" w:rsidRPr="00A9009D" w:rsidRDefault="00AD4F91" w:rsidP="00D54AF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(№ТП)</w:t>
            </w:r>
          </w:p>
        </w:tc>
        <w:tc>
          <w:tcPr>
            <w:tcW w:w="15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Паспорті дані трансформатора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Сезонні к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оеф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т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</w:p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форми графіка наванта-ження</w:t>
            </w:r>
            <w:r w:rsidRPr="00A9009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*</w:t>
            </w:r>
          </w:p>
        </w:tc>
        <w:tc>
          <w:tcPr>
            <w:tcW w:w="2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 w:eastAsia="en-US"/>
              </w:rPr>
              <w:t xml:space="preserve">Втрати електричної енергії Споживачу </w:t>
            </w:r>
          </w:p>
        </w:tc>
      </w:tr>
      <w:tr w:rsidR="00AD4F91" w:rsidRPr="00A9009D" w:rsidTr="00D54AFA">
        <w:trPr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Ном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 xml:space="preserve"> потужність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H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, кВА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Номінальна напруга,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U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Н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,</w:t>
            </w: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009D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Р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Н.Х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Р</w:t>
            </w:r>
            <w:r w:rsidRPr="00A9009D">
              <w:rPr>
                <w:rFonts w:ascii="Times New Roman" w:hAnsi="Times New Roman"/>
                <w:sz w:val="18"/>
                <w:szCs w:val="18"/>
                <w:vertAlign w:val="subscript"/>
              </w:rPr>
              <w:t>К.З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 нараховуються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нараховуються в повному обсязі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нараховуються за мінусом втрат, пов’язаних з передачею електричної енергії Субспоживачам та/або Оператору системи</w:t>
            </w:r>
          </w:p>
        </w:tc>
      </w:tr>
      <w:tr w:rsidR="00AD4F91" w:rsidRPr="00A9009D" w:rsidTr="00D54AFA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0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</w:tr>
      <w:tr w:rsidR="00AD4F91" w:rsidRPr="00A9009D" w:rsidTr="00D54AFA">
        <w:trPr>
          <w:trHeight w:val="23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</w:tr>
      <w:tr w:rsidR="00AD4F91" w:rsidRPr="00A9009D" w:rsidTr="00D54AFA">
        <w:trPr>
          <w:trHeight w:val="23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Style w:val="a5"/>
                <w:sz w:val="18"/>
                <w:szCs w:val="18"/>
                <w:lang w:val="uk-UA"/>
              </w:rPr>
            </w:pPr>
          </w:p>
        </w:tc>
      </w:tr>
    </w:tbl>
    <w:p w:rsidR="00AD4F91" w:rsidRPr="00A9009D" w:rsidRDefault="00AD4F91" w:rsidP="00D14A15">
      <w:pPr>
        <w:tabs>
          <w:tab w:val="left" w:pos="0"/>
        </w:tabs>
        <w:spacing w:after="0" w:line="216" w:lineRule="auto"/>
        <w:ind w:left="7081" w:right="29" w:firstLine="70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E553CE">
      <w:pPr>
        <w:numPr>
          <w:ilvl w:val="0"/>
          <w:numId w:val="1"/>
        </w:numPr>
        <w:tabs>
          <w:tab w:val="left" w:pos="0"/>
        </w:tabs>
        <w:spacing w:after="0" w:line="216" w:lineRule="auto"/>
        <w:ind w:left="567" w:right="169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lastRenderedPageBreak/>
        <w:t>коефіцієнт форми  графіка навантаження приймають за таблицями 7.1-7.3 Методичних рекомендацій. У випадку неможливості чіткого визначення характеристики споживача (віднесення до тієї чи іншої групи, змішане навантаження, інше), за згодою сторін Кф</w:t>
      </w:r>
      <w:r w:rsidRPr="00A9009D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uk-UA"/>
        </w:rPr>
        <w:t>2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=1,15.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6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 Розрахунок втрат в лініях електропередавання (ЛЕП).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2.2.1.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Для рівня інформаційного забезпечення А втрати визначаються відповідно до п.7.2, 7.5, 7.6 Методичних рекомендацій за формулами.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2.2.1.1.</w:t>
      </w:r>
      <w:r w:rsidRPr="00A9009D">
        <w:rPr>
          <w:rFonts w:ascii="Times New Roman" w:eastAsia="Times New Roman" w:hAnsi="Times New Roman" w:cs="Times New Roman"/>
          <w:bCs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В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трати активної енергії у кВт·год в проводах (ПЛ) або жилах кабелів (КЛ)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159" w:dyaOrig="380">
          <v:shape id="_x0000_i1035" type="#_x0000_t75" style="width:179.25pt;height:21.75pt" o:ole="">
            <v:imagedata r:id="rId27" o:title=""/>
          </v:shape>
          <o:OLEObject Type="Embed" ProgID="Equation.3" ShapeID="_x0000_i1035" DrawAspect="Content" ObjectID="_1739627259" r:id="rId28"/>
        </w:objec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i/>
          <w:position w:val="-6"/>
          <w:sz w:val="18"/>
          <w:szCs w:val="18"/>
          <w:lang w:val="uk-UA" w:eastAsia="uk-UA"/>
        </w:rPr>
        <w:object w:dxaOrig="220" w:dyaOrig="240">
          <v:shape id="_x0000_i1036" type="#_x0000_t75" style="width:10.5pt;height:12pt" o:ole="">
            <v:imagedata r:id="rId29" o:title=""/>
          </v:shape>
          <o:OLEObject Type="Embed" ProgID="Equation.3" ShapeID="_x0000_i1036" DrawAspect="Content" ObjectID="_1739627260" r:id="rId30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коефіцієнт, що дорівнює 3 для трифазної мережі і 2 для однофазної мережі;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79" w:dyaOrig="400">
          <v:shape id="_x0000_i1037" type="#_x0000_t75" style="width:18pt;height:23.25pt" o:ole="">
            <v:imagedata r:id="rId31" o:title=""/>
          </v:shape>
          <o:OLEObject Type="Embed" ProgID="Equation.3" ShapeID="_x0000_i1037" DrawAspect="Content" ObjectID="_1739627261" r:id="rId3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середнє протягом розрахункового періоду діюче значення сили струму ЛЕП, квадрат якого обчислюється за формулою 7.3 Методичнихрекомендацій, А;  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28"/>
          <w:sz w:val="18"/>
          <w:szCs w:val="18"/>
          <w:lang w:val="uk-UA" w:eastAsia="uk-UA"/>
        </w:rPr>
        <w:object w:dxaOrig="1579" w:dyaOrig="680">
          <v:shape id="_x0000_i1038" type="#_x0000_t75" style="width:84pt;height:37.5pt" o:ole="">
            <v:imagedata r:id="rId33" o:title=""/>
          </v:shape>
          <o:OLEObject Type="Embed" ProgID="Equation.3" ShapeID="_x0000_i1038" DrawAspect="Content" ObjectID="_1739627262" r:id="rId34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еквівалентний активний опір фази ЛЕП, Ом;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60" w:dyaOrig="360">
          <v:shape id="_x0000_i1039" type="#_x0000_t75" style="width:27.75pt;height:19.5pt" o:ole="">
            <v:imagedata r:id="rId35" o:title=""/>
          </v:shape>
          <o:OLEObject Type="Embed" ProgID="Equation.3" ShapeID="_x0000_i1039" DrawAspect="Content" ObjectID="_1739627263" r:id="rId3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опір фази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ЛЕП із однаковим перерізом проводу (кабелю), Ом/км;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40" type="#_x0000_t75" style="width:18pt;height:19.5pt" o:ole="">
            <v:imagedata r:id="rId37" o:title=""/>
          </v:shape>
          <o:OLEObject Type="Embed" ProgID="Equation.3" ShapeID="_x0000_i1040" DrawAspect="Content" ObjectID="_1739627264" r:id="rId3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ЛЕП із однаковим перерізом проводу (кабелю) з урахуванням його провисання, укладання «змійкою» тощо, км;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20">
          <v:shape id="_x0000_i1041" type="#_x0000_t75" style="width:10.5pt;height:12.75pt" o:ole="">
            <v:imagedata r:id="rId39" o:title=""/>
          </v:shape>
          <o:OLEObject Type="Embed" ProgID="Equation.3" ShapeID="_x0000_i1041" DrawAspect="Content" ObjectID="_1739627265" r:id="rId40"/>
        </w:object>
      </w: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кількість ділянок ЛЕП із однаковим перерізом проводу (кабелю);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8"/>
          <w:sz w:val="18"/>
          <w:szCs w:val="18"/>
          <w:lang w:val="uk-UA" w:eastAsia="uk-UA"/>
        </w:rPr>
        <w:object w:dxaOrig="340" w:dyaOrig="440">
          <v:shape id="_x0000_i1042" type="#_x0000_t75" style="width:19.5pt;height:25.5pt" o:ole="">
            <v:imagedata r:id="rId41" o:title=""/>
          </v:shape>
          <o:OLEObject Type="Embed" ProgID="Equation.3" ShapeID="_x0000_i1042" DrawAspect="Content" ObjectID="_1739627266" r:id="rId42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коефіцієнт форми графіка навантаження ЛЕП;</w:t>
      </w:r>
    </w:p>
    <w:p w:rsidR="00D14A15" w:rsidRPr="00A9009D" w:rsidRDefault="00D14A15" w:rsidP="0036701F">
      <w:pPr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43" type="#_x0000_t75" style="width:18pt;height:19.5pt" o:ole="">
            <v:imagedata r:id="rId23" o:title=""/>
          </v:shape>
          <o:OLEObject Type="Embed" ProgID="Equation.3" ShapeID="_x0000_i1043" DrawAspect="Content" ObjectID="_1739627267" r:id="rId4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ЛЕП під навантаженням протягом розрахункового періоду, години.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реактивної енергії у кВАр·год в ЛЕП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851" w:firstLine="567"/>
        <w:jc w:val="center"/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28"/>
          <w:sz w:val="18"/>
          <w:szCs w:val="18"/>
          <w:lang w:val="uk-UA" w:eastAsia="uk-UA"/>
        </w:rPr>
        <w:object w:dxaOrig="5040" w:dyaOrig="560">
          <v:shape id="_x0000_i1044" type="#_x0000_t75" style="width:273.75pt;height:30.75pt" o:ole="">
            <v:imagedata r:id="rId44" o:title=""/>
          </v:shape>
          <o:OLEObject Type="Embed" ProgID="Equation.3" ShapeID="_x0000_i1044" DrawAspect="Content" ObjectID="_1739627268" r:id="rId4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(кВАр·год)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i/>
          <w:position w:val="-28"/>
          <w:sz w:val="18"/>
          <w:szCs w:val="18"/>
          <w:lang w:val="uk-UA" w:eastAsia="uk-UA"/>
        </w:rPr>
        <w:object w:dxaOrig="1680" w:dyaOrig="680">
          <v:shape id="_x0000_i1045" type="#_x0000_t75" style="width:87.75pt;height:37.5pt" o:ole="">
            <v:imagedata r:id="rId46" o:title=""/>
          </v:shape>
          <o:OLEObject Type="Embed" ProgID="Equation.3" ShapeID="_x0000_i1045" DrawAspect="Content" ObjectID="_1739627269" r:id="rId4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еквівалентний індуктивний опір фази ПЛ (КЛ), Ом;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60">
          <v:shape id="_x0000_i1046" type="#_x0000_t75" style="width:29.25pt;height:18.75pt" o:ole="">
            <v:imagedata r:id="rId48" o:title=""/>
          </v:shape>
          <o:OLEObject Type="Embed" ProgID="Equation.3" ShapeID="_x0000_i1046" DrawAspect="Content" ObjectID="_1739627270" r:id="rId4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індуктивний опір фази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ПЛ (КЛ) з однаковим перерізом проводу, Ом/км;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47" type="#_x0000_t75" style="width:18pt;height:19.5pt" o:ole="">
            <v:imagedata r:id="rId50" o:title=""/>
          </v:shape>
          <o:OLEObject Type="Embed" ProgID="Equation.3" ShapeID="_x0000_i1047" DrawAspect="Content" ObjectID="_1739627271" r:id="rId5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-тої ділянки ПЛ (КЛ) з однаковою площею перерізу проводу з урахуванням його провисання, укладання «змійкою» тощо, км;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540" w:dyaOrig="360">
          <v:shape id="_x0000_i1048" type="#_x0000_t75" style="width:27.75pt;height:18pt" o:ole="">
            <v:imagedata r:id="rId52" o:title=""/>
          </v:shape>
          <o:OLEObject Type="Embed" ProgID="Equation.3" ShapeID="_x0000_i1048" DrawAspect="Content" ObjectID="_1739627272" r:id="rId5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питома генерація реактивної потужності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m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-тої ділянки ПЛ (КЛ) з однаковою площею перерізу проводу, кВАр/км; 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20">
          <v:shape id="_x0000_i1049" type="#_x0000_t75" style="width:12pt;height:12.75pt" o:ole="">
            <v:imagedata r:id="rId54" o:title=""/>
          </v:shape>
          <o:OLEObject Type="Embed" ProgID="Equation.3" ShapeID="_x0000_i1049" DrawAspect="Content" ObjectID="_1739627273" r:id="rId55"/>
        </w:object>
      </w: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 кількість ділянок ЛЕП із однаковим перерізом проводу (кабелю);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80" w:dyaOrig="360">
          <v:shape id="_x0000_i1050" type="#_x0000_t75" style="width:18.75pt;height:18pt" o:ole="">
            <v:imagedata r:id="rId56" o:title=""/>
          </v:shape>
          <o:OLEObject Type="Embed" ProgID="Equation.DSMT4" ShapeID="_x0000_i1050" DrawAspect="Content" ObjectID="_1739627274" r:id="rId5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- номінальна напруга ПЛ (КЛ);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i/>
          <w:position w:val="-10"/>
          <w:sz w:val="18"/>
          <w:szCs w:val="18"/>
          <w:lang w:val="uk-UA" w:eastAsia="uk-UA"/>
        </w:rPr>
        <w:object w:dxaOrig="279" w:dyaOrig="340">
          <v:shape id="_x0000_i1051" type="#_x0000_t75" style="width:18pt;height:19.5pt" o:ole="">
            <v:imagedata r:id="rId23" o:title=""/>
          </v:shape>
          <o:OLEObject Type="Embed" ProgID="Equation.3" ShapeID="_x0000_i1051" DrawAspect="Content" ObjectID="_1739627275" r:id="rId5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роботи ЛЕП під навантаженням протягом розрахункового періоду, години.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52" type="#_x0000_t75" style="width:18pt;height:19.5pt" o:ole="">
            <v:imagedata r:id="rId25" o:title=""/>
          </v:shape>
          <o:OLEObject Type="Embed" ProgID="Equation.3" ShapeID="_x0000_i1052" DrawAspect="Content" ObjectID="_1739627276" r:id="rId5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час находження ПЛ (КЛ) під напругою, години.</w:t>
      </w:r>
    </w:p>
    <w:p w:rsidR="00D14A15" w:rsidRPr="00A9009D" w:rsidRDefault="00D14A15" w:rsidP="0036701F">
      <w:p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Якщо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960" w:dyaOrig="360">
          <v:shape id="_x0000_i1053" type="#_x0000_t75" style="width:54pt;height:20.25pt" o:ole="">
            <v:imagedata r:id="rId60" o:title=""/>
          </v:shape>
          <o:OLEObject Type="Embed" ProgID="Equation.3" ShapeID="_x0000_i1053" DrawAspect="Content" ObjectID="_1739627277" r:id="rId6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кВ (для ПЛ), або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859" w:dyaOrig="360">
          <v:shape id="_x0000_i1054" type="#_x0000_t75" style="width:46.5pt;height:20.25pt" o:ole="">
            <v:imagedata r:id="rId62" o:title=""/>
          </v:shape>
          <o:OLEObject Type="Embed" ProgID="Equation.3" ShapeID="_x0000_i1054" DrawAspect="Content" ObjectID="_1739627278" r:id="rId6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кВ (для КЛ) другий доданок у формулі приймають рівним нулю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Кліматичні втрати електроенергії у кВт·год в ізоляції ПЛ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851" w:firstLine="567"/>
        <w:jc w:val="center"/>
        <w:rPr>
          <w:rFonts w:ascii="Times New Roman" w:eastAsia="Times New Roman" w:hAnsi="Times New Roman" w:cs="Times New Roman"/>
          <w:bCs/>
          <w:position w:val="-28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Cs/>
          <w:position w:val="-14"/>
          <w:sz w:val="18"/>
          <w:szCs w:val="18"/>
          <w:lang w:val="uk-UA" w:eastAsia="uk-UA"/>
        </w:rPr>
        <w:object w:dxaOrig="3500" w:dyaOrig="420">
          <v:shape id="_x0000_i1055" type="#_x0000_t75" style="width:203.25pt;height:25.5pt" o:ole="">
            <v:imagedata r:id="rId64" o:title=""/>
          </v:shape>
          <o:OLEObject Type="Embed" ProgID="Equation.3" ShapeID="_x0000_i1055" DrawAspect="Content" ObjectID="_1739627279" r:id="rId65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bCs/>
          <w:position w:val="-14"/>
          <w:sz w:val="18"/>
          <w:szCs w:val="18"/>
          <w:lang w:val="uk-UA" w:eastAsia="uk-UA"/>
        </w:rPr>
        <w:object w:dxaOrig="940" w:dyaOrig="380">
          <v:shape id="_x0000_i1056" type="#_x0000_t75" style="width:50.25pt;height:21.75pt" o:ole="">
            <v:imagedata r:id="rId66" o:title=""/>
          </v:shape>
          <o:OLEObject Type="Embed" ProgID="Equation.3" ShapeID="_x0000_i1056" DrawAspect="Content" ObjectID="_1739627280" r:id="rId67"/>
        </w:objec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 –  питомі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середньорічні втрати електроенергії в ізоляції ПЛ</w:t>
      </w:r>
      <w:r w:rsidRPr="00A9009D">
        <w:rPr>
          <w:rFonts w:ascii="Times New Roman" w:eastAsia="Times New Roman" w:hAnsi="Times New Roman" w:cs="Times New Roman"/>
          <w:bCs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і-го ступеня напруги у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r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-тому регіоні, тис.кВт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sym w:font="Symbol" w:char="F0D7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год /км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;</w:t>
      </w:r>
    </w:p>
    <w:p w:rsidR="00D14A15" w:rsidRPr="00A9009D" w:rsidRDefault="00D14A15" w:rsidP="0036701F">
      <w:pPr>
        <w:tabs>
          <w:tab w:val="left" w:pos="0"/>
        </w:tabs>
        <w:spacing w:after="120" w:line="216" w:lineRule="auto"/>
        <w:rPr>
          <w:rFonts w:ascii="Calibri" w:eastAsia="Calibri" w:hAnsi="Calibri" w:cs="Times New Roman"/>
          <w:bCs/>
          <w:sz w:val="18"/>
          <w:szCs w:val="18"/>
          <w:lang w:val="uk-UA" w:eastAsia="x-none"/>
        </w:rPr>
      </w:pPr>
      <w:r w:rsidRPr="00A9009D">
        <w:rPr>
          <w:rFonts w:ascii="Calibri" w:eastAsia="Calibri" w:hAnsi="Calibri" w:cs="Times New Roman"/>
          <w:bCs/>
          <w:position w:val="-12"/>
          <w:sz w:val="18"/>
          <w:szCs w:val="18"/>
          <w:lang w:val="uk-UA" w:eastAsia="x-none"/>
        </w:rPr>
        <w:object w:dxaOrig="180" w:dyaOrig="360">
          <v:shape id="_x0000_i1057" type="#_x0000_t75" style="width:10.5pt;height:19.5pt" o:ole="">
            <v:imagedata r:id="rId68" o:title=""/>
          </v:shape>
          <o:OLEObject Type="Embed" ProgID="Equation.3" ShapeID="_x0000_i1057" DrawAspect="Content" ObjectID="_1739627281" r:id="rId69"/>
        </w:object>
      </w:r>
      <w:r w:rsidRPr="00A9009D">
        <w:rPr>
          <w:rFonts w:ascii="Calibri" w:eastAsia="Calibri" w:hAnsi="Calibri" w:cs="Times New Roman"/>
          <w:bCs/>
          <w:sz w:val="18"/>
          <w:szCs w:val="18"/>
          <w:lang w:val="uk-UA" w:eastAsia="x-none"/>
        </w:rPr>
        <w:t xml:space="preserve"> – довжина ПЛ </w:t>
      </w:r>
      <w:r w:rsidRPr="00A9009D">
        <w:rPr>
          <w:rFonts w:ascii="Calibri" w:eastAsia="Calibri" w:hAnsi="Calibri" w:cs="Times New Roman"/>
          <w:sz w:val="18"/>
          <w:szCs w:val="18"/>
          <w:lang w:val="uk-UA" w:eastAsia="x-none"/>
        </w:rPr>
        <w:t>і-го ступеня напруги</w:t>
      </w:r>
      <w:r w:rsidRPr="00A9009D">
        <w:rPr>
          <w:rFonts w:ascii="Calibri" w:eastAsia="Calibri" w:hAnsi="Calibri" w:cs="Times New Roman"/>
          <w:bCs/>
          <w:sz w:val="18"/>
          <w:szCs w:val="18"/>
          <w:lang w:val="uk-UA" w:eastAsia="x-none"/>
        </w:rPr>
        <w:t>, км.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2.2.1.4.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електроенергії у кВт·год в ізоляції КЛ розраховують за формулою: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28"/>
          <w:sz w:val="18"/>
          <w:szCs w:val="18"/>
          <w:lang w:val="uk-UA" w:eastAsia="uk-UA"/>
        </w:rPr>
        <w:object w:dxaOrig="2960" w:dyaOrig="700">
          <v:shape id="_x0000_i1058" type="#_x0000_t75" style="width:168.75pt;height:39.75pt" o:ole="">
            <v:imagedata r:id="rId70" o:title=""/>
          </v:shape>
          <o:OLEObject Type="Embed" ProgID="Equation.3" ShapeID="_x0000_i1058" DrawAspect="Content" ObjectID="_1739627282" r:id="rId71"/>
        </w:objec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– </m:t>
        </m:r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540" w:dyaOrig="380">
          <v:shape id="_x0000_i1059" type="#_x0000_t75" style="width:27pt;height:18.75pt" o:ole="">
            <v:imagedata r:id="rId72" o:title=""/>
          </v:shape>
          <o:OLEObject Type="Embed" ProgID="Equation.3" ShapeID="_x0000_i1059" DrawAspect="Content" ObjectID="_1739627283" r:id="rId7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˗ питома зарядна потужність кабелю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j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поперечного перерізу, кВАр/км;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j</m:t>
            </m:r>
          </m:sub>
        </m:sSub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260" w:dyaOrig="380">
          <v:shape id="_x0000_i1060" type="#_x0000_t75" style="width:12.75pt;height:18.75pt" o:ole="">
            <v:imagedata r:id="rId74" o:title=""/>
          </v:shape>
          <o:OLEObject Type="Embed" ProgID="Equation.3" ShapeID="_x0000_i1060" DrawAspect="Content" ObjectID="_1739627284" r:id="rId7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сумарна довжина ділянок ЛЕП, виконаних кабелем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j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поперечного перерізу, км;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δ</m:t>
        </m:r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420" w:dyaOrig="320">
          <v:shape id="_x0000_i1061" type="#_x0000_t75" style="width:21.75pt;height:15.75pt" o:ole="">
            <v:imagedata r:id="rId76" o:title=""/>
          </v:shape>
          <o:OLEObject Type="Embed" ProgID="Equation.3" ShapeID="_x0000_i1061" DrawAspect="Content" ObjectID="_1739627285" r:id="rId7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тангенс кута діелектричних втрат;</w:t>
      </w:r>
    </w:p>
    <w:p w:rsidR="00D14A15" w:rsidRPr="00A9009D" w:rsidRDefault="00D14A15" w:rsidP="0036701F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begin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р</m:t>
            </m:r>
          </m:sub>
        </m:sSub>
      </m:oMath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instrText xml:space="preserve"> </w:instrTex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separate"/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20" w:dyaOrig="340">
          <v:shape id="_x0000_i1062" type="#_x0000_t75" style="width:15.75pt;height:18pt" o:ole="">
            <v:imagedata r:id="rId78" o:title=""/>
          </v:shape>
          <o:OLEObject Type="Embed" ProgID="Equation.3" ShapeID="_x0000_i1062" DrawAspect="Content" ObjectID="_1739627286" r:id="rId7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fldChar w:fldCharType="end"/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– час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находження 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КЛ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під напругою за розрахунковий період</w:t>
      </w:r>
      <w:r w:rsidRPr="00A9009D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, годин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Для рівня інформаційного забезпечення Б втрати визначаються відповідно до п.7.4, 7.5, 7.6 Методичних рекомендацій.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2.2.3.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наведені в Таблиці 2.</w:t>
      </w:r>
    </w:p>
    <w:p w:rsidR="00AD4F91" w:rsidRPr="00A9009D" w:rsidRDefault="00AD4F91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AD4F91" w:rsidRPr="00A9009D" w:rsidRDefault="00AD4F91" w:rsidP="0036701F">
      <w:pPr>
        <w:tabs>
          <w:tab w:val="left" w:pos="0"/>
        </w:tabs>
        <w:spacing w:after="0" w:line="216" w:lineRule="auto"/>
        <w:ind w:right="1417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1100F2" w:rsidRPr="00A9009D" w:rsidRDefault="00D14A15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2</w:t>
      </w:r>
    </w:p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925"/>
        <w:gridCol w:w="1560"/>
        <w:gridCol w:w="517"/>
        <w:gridCol w:w="532"/>
        <w:gridCol w:w="936"/>
        <w:gridCol w:w="1355"/>
        <w:gridCol w:w="1337"/>
        <w:gridCol w:w="1394"/>
        <w:gridCol w:w="1582"/>
      </w:tblGrid>
      <w:tr w:rsidR="00AD4F91" w:rsidRPr="00A9009D" w:rsidTr="00D54AFA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4F91" w:rsidRPr="00A9009D" w:rsidRDefault="00AD4F91" w:rsidP="00D54AF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Точка обліку </w:t>
            </w:r>
          </w:p>
        </w:tc>
        <w:tc>
          <w:tcPr>
            <w:tcW w:w="2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Паспорті дані ЛЕП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Сезонні к</w:t>
            </w: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оефіцієнт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</w:p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 графіка навантаження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*</w:t>
            </w:r>
          </w:p>
        </w:tc>
        <w:tc>
          <w:tcPr>
            <w:tcW w:w="19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A9009D">
              <w:rPr>
                <w:rFonts w:ascii="Times New Roman" w:hAnsi="Times New Roman"/>
                <w:bCs/>
                <w:sz w:val="18"/>
                <w:szCs w:val="18"/>
                <w:lang w:val="uk-UA" w:eastAsia="en-US"/>
              </w:rPr>
              <w:t xml:space="preserve">Втрати електричної енергії Споживачу </w:t>
            </w:r>
          </w:p>
        </w:tc>
      </w:tr>
      <w:tr w:rsidR="00AD4F91" w:rsidRPr="00A9009D" w:rsidTr="00D54AFA">
        <w:trPr>
          <w:trHeight w:val="59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Номінальна напруга, U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, кВ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ЛЕП (марка та січення проводу/кабелю)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Питомий опір, Ом/км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 w:line="240" w:lineRule="auto"/>
              <w:ind w:left="-165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Довжина,</w:t>
            </w:r>
          </w:p>
          <w:p w:rsidR="00AD4F91" w:rsidRPr="00A9009D" w:rsidRDefault="00AD4F91" w:rsidP="00D54AFA">
            <w:pPr>
              <w:spacing w:after="0" w:line="240" w:lineRule="auto"/>
              <w:ind w:left="-165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D4F91" w:rsidRPr="00A9009D" w:rsidTr="00D54AFA">
        <w:trPr>
          <w:trHeight w:val="76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9009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1" w:rsidRPr="00A9009D" w:rsidRDefault="00AD4F91" w:rsidP="00D54AF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не нараховуються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нараховуються в повному обсязі</w:t>
            </w:r>
          </w:p>
          <w:p w:rsidR="00AD4F91" w:rsidRPr="00A9009D" w:rsidRDefault="00AD4F91" w:rsidP="00D54AFA">
            <w:pPr>
              <w:ind w:left="-137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нараховуються за мінусом втрат, пов’язаних з передачею електричної енергії Субспоживачам та/або Оператору системи</w:t>
            </w:r>
          </w:p>
        </w:tc>
      </w:tr>
      <w:tr w:rsidR="00AD4F91" w:rsidRPr="00A9009D" w:rsidTr="00D54AFA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0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AD4F91" w:rsidRPr="00A9009D" w:rsidTr="00D54AFA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4F91" w:rsidRPr="00A9009D" w:rsidTr="00D54AFA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1" w:rsidRPr="00A9009D" w:rsidRDefault="00AD4F91" w:rsidP="00D5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D4F91" w:rsidRPr="00A9009D" w:rsidRDefault="00AD4F91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912AAD" w:rsidRPr="00A9009D" w:rsidRDefault="00912AAD" w:rsidP="00D14A15">
      <w:pPr>
        <w:tabs>
          <w:tab w:val="left" w:pos="0"/>
        </w:tabs>
        <w:spacing w:after="0" w:line="216" w:lineRule="auto"/>
        <w:ind w:right="1417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709" w:right="-396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2.3. Розрахунок втрат у зовнішній живильній мережі та внутрішньобудинкових мережах.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енергії, пов’язані з електропостачанням будинку, згідно з вимогами пункту 7.9 Методичних рекомендацій, визначають як суму втрат у зовнішній живильній мережі та внутрішніх мережах багатоповерхових житлових (офісних) будинків.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Втрати електричної енергії у внутрішніх мережах багатоповерхових житлових (офісних) будинків потрібно обчислювати для кожного із вводів як різницю одночасних показів лічильника електричної енергії, встановленого на вводі у житловий будинок і лічильників, за якими здійснюють облік електроенергії на внутрішньобудинкові потреби (освітлення сходів, сходових клітин, коридорів і технічних поверхів; потреби водопостачання і теплопостачання; світлозагорожа; робота ліфтів тощо) та у фізичних (юридичних) осіб цього будинку.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У разі відсутності лічильника на вводі у багатоповерховий житловий (офісний) будинок або лічильника обліку внутрішньобудинкових потреб або неможливості одночасного зчитування показів лічильників, значення втрат електричної енергії, пов’язаних із електропостачанням будинку, розраховують як суму втрат у зовнішній живильній мережі, внутрішньобудинковій мережі живлення споживачів (квартир, офісів тощо), втрат у лічильниках електричної енергії та втрат в опорах контактних з’єднань відгалужень до лічильників.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left="567" w:right="17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активної електроенергії в кВт·год у зовнішній мережі обчислюють за формулами.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окремих лічильників на внутрішньобудинкові потреби, а загальнобудинковий облік (або облік по під’їздам) відсутній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center"/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5220" w:dyaOrig="1100">
          <v:shape id="_x0000_i1063" type="#_x0000_t75" style="width:269.25pt;height:57.75pt" o:ole="">
            <v:imagedata r:id="rId80" o:title=""/>
          </v:shape>
          <o:OLEObject Type="Embed" ProgID="Equation.3" ShapeID="_x0000_i1063" DrawAspect="Content" ObjectID="_1739627287" r:id="rId81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загальнобудинкового обліку (або обліку по під’їздам)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або у разі встановлення загальнобудинкового обліку (або обліку по під’їздам) та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(«ЗБ ВП»)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та неможливості одночасного зчитування зчитування показів з лічильників споживачів:</w:t>
      </w:r>
    </w:p>
    <w:p w:rsidR="00D14A15" w:rsidRPr="00A9009D" w:rsidRDefault="00D14A15" w:rsidP="00AD4F91">
      <w:pPr>
        <w:tabs>
          <w:tab w:val="left" w:pos="0"/>
        </w:tabs>
        <w:spacing w:after="0" w:line="216" w:lineRule="auto"/>
        <w:ind w:right="170" w:firstLine="567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3800" w:dyaOrig="760">
          <v:shape id="_x0000_i1064" type="#_x0000_t75" style="width:205.5pt;height:41.25pt" o:ole="">
            <v:imagedata r:id="rId82" o:title=""/>
          </v:shape>
          <o:OLEObject Type="Embed" ProgID="Equation.3" ShapeID="_x0000_i1064" DrawAspect="Content" ObjectID="_1739627288" r:id="rId83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2.3.1.3.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відсутності будь-якого загальнобудинкового обліку е\е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(«О/Б»):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170"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3760" w:dyaOrig="1100">
          <v:shape id="_x0000_i1065" type="#_x0000_t75" style="width:193.5pt;height:57.75pt" o:ole="">
            <v:imagedata r:id="rId84" o:title=""/>
          </v:shape>
          <o:OLEObject Type="Embed" ProgID="Equation.3" ShapeID="_x0000_i1065" DrawAspect="Content" ObjectID="_1739627289" r:id="rId85"/>
        </w:objec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538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2.3.1.4.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Вихідні дані для розрахунку втрат в зовнішній мережі наведені в Таблиці 2.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284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Втрати активної електроенергії в кВт·год у внутрішньобудинковій мережі обчислюють за формулами.</w:t>
      </w:r>
    </w:p>
    <w:p w:rsidR="00D14A15" w:rsidRPr="00A9009D" w:rsidRDefault="00D14A15" w:rsidP="00D14A15">
      <w:pPr>
        <w:tabs>
          <w:tab w:val="left" w:pos="0"/>
          <w:tab w:val="left" w:pos="9923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2.3.2.1.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окремих лічильників на внутрішньобудинкові потреби, а загальнобудинковий облік (або облік по під’їздам) відсутній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position w:val="-3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30"/>
          <w:sz w:val="18"/>
          <w:szCs w:val="18"/>
          <w:lang w:val="uk-UA" w:eastAsia="uk-UA"/>
        </w:rPr>
        <w:object w:dxaOrig="5060" w:dyaOrig="1100">
          <v:shape id="_x0000_i1066" type="#_x0000_t75" style="width:261.75pt;height:57.75pt" o:ole="">
            <v:imagedata r:id="rId86" o:title=""/>
          </v:shape>
          <o:OLEObject Type="Embed" ProgID="Equation.3" ShapeID="_x0000_i1066" DrawAspect="Content" ObjectID="_1739627290" r:id="rId87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2.3.2.2.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встановлення загальнобудинкового обліку (або обліку по під’їздам) та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 ВП»)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неможливості одночасного зчитування показів з лічильників споживачів:</w:t>
      </w:r>
    </w:p>
    <w:p w:rsidR="00D14A15" w:rsidRPr="00A9009D" w:rsidRDefault="00D14A15" w:rsidP="00D14A15">
      <w:pPr>
        <w:tabs>
          <w:tab w:val="left" w:pos="0"/>
          <w:tab w:val="left" w:pos="709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48"/>
          <w:sz w:val="18"/>
          <w:szCs w:val="18"/>
          <w:lang w:val="uk-UA" w:eastAsia="uk-UA"/>
        </w:rPr>
        <w:object w:dxaOrig="5760" w:dyaOrig="1080">
          <v:shape id="_x0000_i1067" type="#_x0000_t75" style="width:284.25pt;height:54pt" o:ole="">
            <v:imagedata r:id="rId88" o:title=""/>
          </v:shape>
          <o:OLEObject Type="Embed" ProgID="Equation.3" ShapeID="_x0000_i1067" DrawAspect="Content" ObjectID="_1739627291" r:id="rId89"/>
        </w:object>
      </w:r>
    </w:p>
    <w:p w:rsidR="00D14A15" w:rsidRPr="00A9009D" w:rsidRDefault="00D14A15" w:rsidP="0036701F">
      <w:pPr>
        <w:tabs>
          <w:tab w:val="left" w:pos="0"/>
          <w:tab w:val="left" w:pos="142"/>
        </w:tabs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2.3.2.3.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У разі відсутності будь-якого загальнобудинкового обліку е\е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(«О/Б»)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або встановлення загальнобудинкового обліку (або обліку по під’їздам) та відсутності лічильників на внутрішньобудинкові потреби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(«ЗБ»)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:</w:t>
      </w:r>
    </w:p>
    <w:p w:rsidR="00D14A15" w:rsidRPr="00A9009D" w:rsidRDefault="00D14A15" w:rsidP="00D14A15">
      <w:pPr>
        <w:tabs>
          <w:tab w:val="left" w:pos="0"/>
          <w:tab w:val="left" w:pos="709"/>
        </w:tabs>
        <w:spacing w:after="0" w:line="216" w:lineRule="auto"/>
        <w:ind w:right="-284" w:firstLine="567"/>
        <w:jc w:val="center"/>
        <w:rPr>
          <w:rFonts w:ascii="Times New Roman" w:eastAsia="Times New Roman" w:hAnsi="Times New Roman" w:cs="Times New Roman"/>
          <w:position w:val="-72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70"/>
          <w:sz w:val="18"/>
          <w:szCs w:val="18"/>
          <w:lang w:val="uk-UA" w:eastAsia="uk-UA"/>
        </w:rPr>
        <w:object w:dxaOrig="5720" w:dyaOrig="1520">
          <v:shape id="_x0000_i1068" type="#_x0000_t75" style="width:296.25pt;height:77.25pt" o:ole="">
            <v:imagedata r:id="rId90" o:title=""/>
          </v:shape>
          <o:OLEObject Type="Embed" ProgID="Equation.3" ShapeID="_x0000_i1068" DrawAspect="Content" ObjectID="_1739627292" r:id="rId91"/>
        </w:objec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де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80">
          <v:shape id="_x0000_i1069" type="#_x0000_t75" style="width:26.25pt;height:21.75pt" o:ole="">
            <v:imagedata r:id="rId92" o:title=""/>
          </v:shape>
          <o:OLEObject Type="Embed" ProgID="Equation.3" ShapeID="_x0000_i1069" DrawAspect="Content" ObjectID="_1739627293" r:id="rId9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на внутрішньобудинкові потреби протягом розрахункового періоду,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499" w:dyaOrig="400">
          <v:shape id="_x0000_i1070" type="#_x0000_t75" style="width:26.25pt;height:21.75pt" o:ole="">
            <v:imagedata r:id="rId94" o:title=""/>
          </v:shape>
          <o:OLEObject Type="Embed" ProgID="Equation.3" ShapeID="_x0000_i1070" DrawAspect="Content" ObjectID="_1739627294" r:id="rId9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т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-м споживачем 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  протягом розрахункового періоду,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99" w:dyaOrig="380">
          <v:shape id="_x0000_i1071" type="#_x0000_t75" style="width:26.25pt;height:21.75pt" o:ole="">
            <v:imagedata r:id="rId96" o:title=""/>
          </v:shape>
          <o:OLEObject Type="Embed" ProgID="Equation.3" ShapeID="_x0000_i1071" DrawAspect="Content" ObjectID="_1739627295" r:id="rId9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реактивної енергії на внутрішньобудинкові потреби протягом розрахункового періоду, кВАр·год;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object w:dxaOrig="300" w:dyaOrig="360">
          <v:shape id="_x0000_i1072" type="#_x0000_t75" style="width:18pt;height:19.5pt" o:ole="">
            <v:imagedata r:id="rId98" o:title=""/>
          </v:shape>
          <o:OLEObject Type="Embed" ProgID="Equation.3" ShapeID="_x0000_i1072" DrawAspect="Content" ObjectID="_1739627296" r:id="rId9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– коефіцієнт форми графіка навантаження;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279" w:dyaOrig="360">
          <v:shape id="_x0000_i1073" type="#_x0000_t75" style="width:15.75pt;height:19.5pt" o:ole="">
            <v:imagedata r:id="rId100" o:title=""/>
          </v:shape>
          <o:OLEObject Type="Embed" ProgID="Equation.3" ShapeID="_x0000_i1073" DrawAspect="Content" ObjectID="_1739627297" r:id="rId10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питомий активний опір кабелю (проводу) зовнішньої мережі, Ом/км;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200" w:dyaOrig="360">
          <v:shape id="_x0000_i1074" type="#_x0000_t75" style="width:11.25pt;height:19.5pt" o:ole="">
            <v:imagedata r:id="rId102" o:title=""/>
          </v:shape>
          <o:OLEObject Type="Embed" ProgID="Equation.3" ShapeID="_x0000_i1074" DrawAspect="Content" ObjectID="_1739627298" r:id="rId10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кабелю (проводу) зовнішньої мережі, км;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4"/>
          <w:sz w:val="18"/>
          <w:szCs w:val="18"/>
          <w:lang w:val="uk-UA" w:eastAsia="uk-UA"/>
        </w:rPr>
        <w:object w:dxaOrig="220" w:dyaOrig="240">
          <v:shape id="_x0000_i1075" type="#_x0000_t75" style="width:12.75pt;height:12.75pt" o:ole="">
            <v:imagedata r:id="rId104" o:title=""/>
          </v:shape>
          <o:OLEObject Type="Embed" ProgID="Equation.3" ShapeID="_x0000_i1075" DrawAspect="Content" ObjectID="_1739627299" r:id="rId10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тривалість розрахункового періоду, годин;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60" w:dyaOrig="220">
          <v:shape id="_x0000_i1076" type="#_x0000_t75" style="width:12pt;height:11.25pt" o:ole="">
            <v:imagedata r:id="rId106" o:title=""/>
          </v:shape>
          <o:OLEObject Type="Embed" ProgID="Equation.3" ShapeID="_x0000_i1076" DrawAspect="Content" ObjectID="_1739627300" r:id="rId10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 кількість квартир (офісів), приєднаних до стояка;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ind w:right="-53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6"/>
          <w:sz w:val="18"/>
          <w:szCs w:val="18"/>
          <w:lang w:val="uk-UA" w:eastAsia="uk-UA"/>
        </w:rPr>
        <w:object w:dxaOrig="200" w:dyaOrig="279">
          <v:shape id="_x0000_i1077" type="#_x0000_t75" style="width:10.5pt;height:14.25pt" o:ole="">
            <v:imagedata r:id="rId108" o:title=""/>
          </v:shape>
          <o:OLEObject Type="Embed" ProgID="Equation.3" ShapeID="_x0000_i1077" DrawAspect="Content" ObjectID="_1739627301" r:id="rId10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– кількість стояків.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6"/>
          <w:sz w:val="18"/>
          <w:szCs w:val="18"/>
          <w:lang w:val="uk-UA" w:eastAsia="uk-UA"/>
        </w:rPr>
        <w:object w:dxaOrig="680" w:dyaOrig="580">
          <v:shape id="_x0000_i1078" type="#_x0000_t75" style="width:30.75pt;height:25.5pt" o:ole="">
            <v:imagedata r:id="rId110" o:title=""/>
          </v:shape>
          <o:OLEObject Type="Embed" ProgID="Equation.DSMT4" ShapeID="_x0000_i1078" DrawAspect="Content" ObjectID="_1739627302" r:id="rId111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активної енергії протягом розрахункового періоду за показами лічильника на вводі у будинок, кВт·год;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560" w:dyaOrig="380">
          <v:shape id="_x0000_i1079" type="#_x0000_t75" style="width:30pt;height:21.75pt" o:ole="">
            <v:imagedata r:id="rId112" o:title=""/>
          </v:shape>
          <o:OLEObject Type="Embed" ProgID="Equation.3" ShapeID="_x0000_i1079" DrawAspect="Content" ObjectID="_1739627303" r:id="rId11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споживання реактивної енергії на внутрішньобудинкові потреби протягом розрахункового періоду, кВАр·год;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cos φ = 0,9 – середній коефіцієнт потужності у зовнішній мережі.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400" w:dyaOrig="360">
          <v:shape id="_x0000_i1080" type="#_x0000_t75" style="width:21.75pt;height:19.5pt" o:ole="">
            <v:imagedata r:id="rId114" o:title=""/>
          </v:shape>
          <o:OLEObject Type="Embed" ProgID="Equation.3" ShapeID="_x0000_i1080" DrawAspect="Content" ObjectID="_1739627304" r:id="rId11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- питомий активний опір кабелю (проводу)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стояка, Ом/км;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40" w:dyaOrig="360">
          <v:shape id="_x0000_i1081" type="#_x0000_t75" style="width:19.5pt;height:19.5pt" o:ole="">
            <v:imagedata r:id="rId116" o:title=""/>
          </v:shape>
          <o:OLEObject Type="Embed" ProgID="Equation.3" ShapeID="_x0000_i1081" DrawAspect="Content" ObjectID="_1739627305" r:id="rId11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– довжина кабелю (проводу) нерозгалуженої частини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-го стояка, км; </w:t>
      </w:r>
    </w:p>
    <w:p w:rsidR="00D14A15" w:rsidRPr="00A9009D" w:rsidRDefault="00D14A15" w:rsidP="0036701F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60" w:dyaOrig="380">
          <v:shape id="_x0000_i1082" type="#_x0000_t75" style="width:19.5pt;height:19.5pt" o:ole="">
            <v:imagedata r:id="rId118" o:title=""/>
          </v:shape>
          <o:OLEObject Type="Embed" ProgID="Equation.3" ShapeID="_x0000_i1082" DrawAspect="Content" ObjectID="_1739627306" r:id="rId11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довжина кабелю (проводу) розгалуженої частини </w:t>
      </w:r>
      <w:r w:rsidRPr="00A9009D">
        <w:rPr>
          <w:rFonts w:ascii="Times New Roman" w:eastAsia="Times New Roman" w:hAnsi="Times New Roman" w:cs="Times New Roman"/>
          <w:i/>
          <w:sz w:val="18"/>
          <w:szCs w:val="18"/>
          <w:lang w:val="uk-UA" w:eastAsia="uk-UA"/>
        </w:rPr>
        <w:t>k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-го стояка, км;</w:t>
      </w:r>
    </w:p>
    <w:p w:rsidR="00D14A15" w:rsidRPr="00A9009D" w:rsidRDefault="00D14A15" w:rsidP="0036701F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20" w:dyaOrig="360">
          <v:shape id="_x0000_i1083" type="#_x0000_t75" style="width:18pt;height:19.5pt" o:ole="">
            <v:imagedata r:id="rId120" o:title=""/>
          </v:shape>
          <o:OLEObject Type="Embed" ProgID="Equation.3" ShapeID="_x0000_i1083" DrawAspect="Content" ObjectID="_1739627307" r:id="rId121"/>
        </w:object>
      </w:r>
      <w:r w:rsidRPr="00A9009D">
        <w:rPr>
          <w:rFonts w:ascii="Times New Roman" w:eastAsia="Times New Roman" w:hAnsi="Times New Roman" w:cs="Times New Roman"/>
          <w:position w:val="-10"/>
          <w:sz w:val="18"/>
          <w:szCs w:val="18"/>
          <w:lang w:val="uk-UA" w:eastAsia="uk-UA"/>
        </w:rPr>
        <w:t xml:space="preserve"> 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˗ коефіцієнт збільшення втрат в лінії 0,38 кВ стояка з несиметричним навантаженням фаз, який  приймається для ліній з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4" type="#_x0000_t75" style="width:15pt;height:18pt" o:ole="">
            <v:imagedata r:id="rId122" o:title=""/>
          </v:shape>
          <o:OLEObject Type="Embed" ProgID="Equation.3" ShapeID="_x0000_i1084" DrawAspect="Content" ObjectID="_1739627308" r:id="rId123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/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5" type="#_x0000_t75" style="width:15pt;height:18.75pt" o:ole="">
            <v:imagedata r:id="rId124" o:title=""/>
          </v:shape>
          <o:OLEObject Type="Embed" ProgID="Equation.3" ShapeID="_x0000_i1085" DrawAspect="Content" ObjectID="_1739627309" r:id="rId125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=1 рівним 1,13, для ліній  з 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6" type="#_x0000_t75" style="width:15pt;height:18pt" o:ole="">
            <v:imagedata r:id="rId122" o:title=""/>
          </v:shape>
          <o:OLEObject Type="Embed" ProgID="Equation.3" ShapeID="_x0000_i1086" DrawAspect="Content" ObjectID="_1739627310" r:id="rId126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/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7" type="#_x0000_t75" style="width:15pt;height:18.75pt" o:ole="">
            <v:imagedata r:id="rId124" o:title=""/>
          </v:shape>
          <o:OLEObject Type="Embed" ProgID="Equation.3" ShapeID="_x0000_i1087" DrawAspect="Content" ObjectID="_1739627311" r:id="rId127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=2  рівним 1,20  </w:t>
      </w:r>
    </w:p>
    <w:p w:rsidR="00D14A15" w:rsidRPr="00A9009D" w:rsidRDefault="00D14A15" w:rsidP="0036701F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</w:t>
      </w:r>
      <w:r w:rsidRPr="00A9009D">
        <w:rPr>
          <w:rFonts w:ascii="Times New Roman" w:eastAsia="Times New Roman" w:hAnsi="Times New Roman" w:cs="Times New Roman"/>
          <w:position w:val="-12"/>
          <w:sz w:val="18"/>
          <w:szCs w:val="18"/>
          <w:lang w:val="uk-UA" w:eastAsia="uk-UA"/>
        </w:rPr>
        <w:object w:dxaOrig="300" w:dyaOrig="360">
          <v:shape id="_x0000_i1088" type="#_x0000_t75" style="width:15pt;height:18pt" o:ole="">
            <v:imagedata r:id="rId122" o:title=""/>
          </v:shape>
          <o:OLEObject Type="Embed" ProgID="Equation.3" ShapeID="_x0000_i1088" DrawAspect="Content" ObjectID="_1739627312" r:id="rId128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і </w:t>
      </w:r>
      <w:r w:rsidRPr="00A9009D">
        <w:rPr>
          <w:rFonts w:ascii="Times New Roman" w:eastAsia="Times New Roman" w:hAnsi="Times New Roman" w:cs="Times New Roman"/>
          <w:position w:val="-14"/>
          <w:sz w:val="18"/>
          <w:szCs w:val="18"/>
          <w:lang w:val="uk-UA" w:eastAsia="uk-UA"/>
        </w:rPr>
        <w:object w:dxaOrig="300" w:dyaOrig="380">
          <v:shape id="_x0000_i1089" type="#_x0000_t75" style="width:15pt;height:18.75pt" o:ole="">
            <v:imagedata r:id="rId124" o:title=""/>
          </v:shape>
          <o:OLEObject Type="Embed" ProgID="Equation.3" ShapeID="_x0000_i1089" DrawAspect="Content" ObjectID="_1739627313" r:id="rId129"/>
        </w:objec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– опори нульового і  фазного проводів відповідно, Ом).</w:t>
      </w:r>
    </w:p>
    <w:p w:rsidR="00D14A15" w:rsidRPr="00A9009D" w:rsidRDefault="00D14A15" w:rsidP="0036701F">
      <w:pPr>
        <w:tabs>
          <w:tab w:val="left" w:pos="426"/>
        </w:tabs>
        <w:spacing w:after="0" w:line="216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2.3.2.4.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Вихідні дані для розрахунку втрат у внутрішньобудинковій мережі наведені в Таблиці 3. </w:t>
      </w:r>
      <w:r w:rsidRPr="00A9009D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A15" w:rsidRPr="00A9009D" w:rsidRDefault="00D14A15" w:rsidP="00D14A15">
      <w:pPr>
        <w:tabs>
          <w:tab w:val="left" w:pos="0"/>
        </w:tabs>
        <w:spacing w:after="0" w:line="216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:rsidR="00D14A15" w:rsidRPr="00A9009D" w:rsidRDefault="00D14A15" w:rsidP="00D14A15">
      <w:pPr>
        <w:tabs>
          <w:tab w:val="left" w:pos="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Таблиця 3</w:t>
      </w: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997"/>
        <w:gridCol w:w="985"/>
        <w:gridCol w:w="844"/>
        <w:gridCol w:w="1123"/>
        <w:gridCol w:w="706"/>
        <w:gridCol w:w="985"/>
        <w:gridCol w:w="985"/>
        <w:gridCol w:w="1125"/>
        <w:gridCol w:w="1548"/>
      </w:tblGrid>
      <w:tr w:rsidR="00D14A15" w:rsidRPr="00A9009D" w:rsidTr="004956C5">
        <w:trPr>
          <w:jc w:val="center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right="-249" w:firstLine="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Адреса будинку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Вихідні дані будинку</w:t>
            </w:r>
          </w:p>
        </w:tc>
        <w:tc>
          <w:tcPr>
            <w:tcW w:w="2309" w:type="pct"/>
            <w:gridSpan w:val="5"/>
            <w:vAlign w:val="center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Паспортні дані мережі</w:t>
            </w:r>
          </w:p>
        </w:tc>
        <w:tc>
          <w:tcPr>
            <w:tcW w:w="726" w:type="pct"/>
            <w:vMerge w:val="restart"/>
            <w:vAlign w:val="center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Коефіцієнти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ind w:left="-10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форми графіка навантаження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*</w:t>
            </w:r>
          </w:p>
        </w:tc>
      </w:tr>
      <w:tr w:rsidR="00D14A15" w:rsidRPr="00A9009D" w:rsidTr="004956C5">
        <w:trPr>
          <w:jc w:val="center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Число квартир од.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Число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стояків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од.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</w:tcPr>
          <w:p w:rsidR="00D14A15" w:rsidRPr="00A9009D" w:rsidRDefault="00961CA3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Розгалужена</w:t>
            </w:r>
          </w:p>
        </w:tc>
        <w:tc>
          <w:tcPr>
            <w:tcW w:w="924" w:type="pct"/>
            <w:gridSpan w:val="2"/>
          </w:tcPr>
          <w:p w:rsidR="00D14A15" w:rsidRPr="00A9009D" w:rsidRDefault="00961CA3" w:rsidP="00D14A15">
            <w:pPr>
              <w:tabs>
                <w:tab w:val="left" w:pos="0"/>
              </w:tabs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Нерозгалужена</w:t>
            </w:r>
          </w:p>
        </w:tc>
        <w:tc>
          <w:tcPr>
            <w:tcW w:w="528" w:type="pct"/>
            <w:vMerge w:val="restar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Коефі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цієнт несиметрії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*</w:t>
            </w:r>
          </w:p>
        </w:tc>
        <w:tc>
          <w:tcPr>
            <w:tcW w:w="726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rPr>
          <w:jc w:val="center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Питомий опір, Ом/км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Дов-жина,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Питомий опір, Ом/км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Довжина стояка,</w:t>
            </w:r>
          </w:p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528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  <w:vMerge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rPr>
          <w:trHeight w:val="241"/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D14A15" w:rsidRPr="00A9009D" w:rsidTr="004956C5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rPr>
          <w:jc w:val="center"/>
        </w:trPr>
        <w:tc>
          <w:tcPr>
            <w:tcW w:w="169" w:type="pct"/>
            <w:tcBorders>
              <w:right w:val="single" w:sz="4" w:space="0" w:color="auto"/>
            </w:tcBorders>
          </w:tcPr>
          <w:p w:rsidR="00D14A15" w:rsidRPr="00A9009D" w:rsidRDefault="00912AAD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…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62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8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26" w:type="pct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D14A15" w:rsidRPr="00A9009D" w:rsidRDefault="00D14A15" w:rsidP="00D14A15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uk-UA"/>
        </w:rPr>
        <w:t>*</w:t>
      </w:r>
      <w:r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Колонка заповнюється для рівня інформаційного забезпечення А.</w:t>
      </w:r>
    </w:p>
    <w:p w:rsidR="00D14A15" w:rsidRPr="00A9009D" w:rsidRDefault="000D6EF7" w:rsidP="0036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2.3.2</w:t>
      </w:r>
      <w:r w:rsidR="000D6310" w:rsidRPr="00A9009D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.5</w:t>
      </w:r>
      <w:r w:rsidR="00D14A15" w:rsidRPr="00A9009D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 Для здійснення розрахунку втрат у внутрішньобудинкових мережах Споживач має повідомити Оператора системи розподілу щодо вихідних даних електромереж будинку.</w:t>
      </w:r>
    </w:p>
    <w:p w:rsidR="00D14A15" w:rsidRPr="00A9009D" w:rsidRDefault="00D14A15" w:rsidP="00D14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236"/>
        <w:gridCol w:w="4444"/>
      </w:tblGrid>
      <w:tr w:rsidR="00D14A15" w:rsidRPr="00A9009D" w:rsidTr="004956C5">
        <w:tc>
          <w:tcPr>
            <w:tcW w:w="4680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Оператор системи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Споживач</w:t>
            </w:r>
          </w:p>
        </w:tc>
      </w:tr>
      <w:tr w:rsidR="00D14A15" w:rsidRPr="00A9009D" w:rsidTr="004956C5">
        <w:tc>
          <w:tcPr>
            <w:tcW w:w="4680" w:type="dxa"/>
            <w:tcBorders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  <w:tab w:val="left" w:pos="3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  <w:tab w:val="left" w:pos="2592"/>
                <w:tab w:val="left" w:pos="3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D14A15" w:rsidRPr="00A9009D" w:rsidTr="004956C5">
        <w:tc>
          <w:tcPr>
            <w:tcW w:w="4680" w:type="dxa"/>
            <w:tcBorders>
              <w:top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</w:tr>
      <w:tr w:rsidR="00D14A15" w:rsidRPr="00A9009D" w:rsidTr="004956C5">
        <w:tc>
          <w:tcPr>
            <w:tcW w:w="4680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М.П.</w:t>
            </w:r>
          </w:p>
        </w:tc>
        <w:tc>
          <w:tcPr>
            <w:tcW w:w="236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М.П.</w:t>
            </w:r>
          </w:p>
        </w:tc>
      </w:tr>
      <w:tr w:rsidR="00D14A15" w:rsidRPr="00D14A15" w:rsidTr="004956C5">
        <w:trPr>
          <w:trHeight w:val="689"/>
        </w:trPr>
        <w:tc>
          <w:tcPr>
            <w:tcW w:w="4680" w:type="dxa"/>
            <w:vAlign w:val="bottom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"____"____________ 20____р.</w:t>
            </w:r>
          </w:p>
        </w:tc>
        <w:tc>
          <w:tcPr>
            <w:tcW w:w="236" w:type="dxa"/>
            <w:vAlign w:val="bottom"/>
          </w:tcPr>
          <w:p w:rsidR="00D14A15" w:rsidRPr="00A9009D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444" w:type="dxa"/>
            <w:vAlign w:val="bottom"/>
          </w:tcPr>
          <w:p w:rsidR="00D14A15" w:rsidRPr="00D14A15" w:rsidRDefault="00D14A15" w:rsidP="00D14A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"____"_____________ 20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___</w:t>
            </w:r>
            <w:r w:rsidRPr="00A9009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р.</w:t>
            </w:r>
            <w:bookmarkStart w:id="0" w:name="_GoBack"/>
            <w:bookmarkEnd w:id="0"/>
          </w:p>
        </w:tc>
      </w:tr>
    </w:tbl>
    <w:p w:rsidR="00072C64" w:rsidRPr="00912AAD" w:rsidRDefault="00072C64" w:rsidP="00D14A15">
      <w:pPr>
        <w:tabs>
          <w:tab w:val="left" w:pos="0"/>
        </w:tabs>
        <w:rPr>
          <w:sz w:val="18"/>
          <w:szCs w:val="18"/>
        </w:rPr>
      </w:pPr>
    </w:p>
    <w:sectPr w:rsidR="00072C64" w:rsidRPr="00912AAD" w:rsidSect="00D42E1A">
      <w:pgSz w:w="11906" w:h="16838"/>
      <w:pgMar w:top="284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0A" w:rsidRDefault="00552F0A" w:rsidP="00AD4F91">
      <w:pPr>
        <w:spacing w:after="0" w:line="240" w:lineRule="auto"/>
      </w:pPr>
      <w:r>
        <w:separator/>
      </w:r>
    </w:p>
  </w:endnote>
  <w:endnote w:type="continuationSeparator" w:id="0">
    <w:p w:rsidR="00552F0A" w:rsidRDefault="00552F0A" w:rsidP="00AD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0A" w:rsidRDefault="00552F0A" w:rsidP="00AD4F91">
      <w:pPr>
        <w:spacing w:after="0" w:line="240" w:lineRule="auto"/>
      </w:pPr>
      <w:r>
        <w:separator/>
      </w:r>
    </w:p>
  </w:footnote>
  <w:footnote w:type="continuationSeparator" w:id="0">
    <w:p w:rsidR="00552F0A" w:rsidRDefault="00552F0A" w:rsidP="00AD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FA6"/>
    <w:multiLevelType w:val="hybridMultilevel"/>
    <w:tmpl w:val="B666E2AC"/>
    <w:lvl w:ilvl="0" w:tplc="8A40473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5"/>
    <w:rsid w:val="00072C64"/>
    <w:rsid w:val="000D6310"/>
    <w:rsid w:val="000D6EF7"/>
    <w:rsid w:val="001100F2"/>
    <w:rsid w:val="00195292"/>
    <w:rsid w:val="00246588"/>
    <w:rsid w:val="0036701F"/>
    <w:rsid w:val="00395776"/>
    <w:rsid w:val="00395C35"/>
    <w:rsid w:val="00552F0A"/>
    <w:rsid w:val="007712E4"/>
    <w:rsid w:val="00912AAD"/>
    <w:rsid w:val="00961CA3"/>
    <w:rsid w:val="009A0DA4"/>
    <w:rsid w:val="00A9009D"/>
    <w:rsid w:val="00AD4F91"/>
    <w:rsid w:val="00B24E72"/>
    <w:rsid w:val="00D14A15"/>
    <w:rsid w:val="00D42E1A"/>
    <w:rsid w:val="00E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DD84-2690-4457-BC32-886F81B8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D4F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D4F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4F91"/>
    <w:rPr>
      <w:rFonts w:ascii="Times New Roman" w:hAnsi="Times New Roman" w:cs="Times New Roman" w:hint="default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F91"/>
  </w:style>
  <w:style w:type="paragraph" w:styleId="a8">
    <w:name w:val="footer"/>
    <w:basedOn w:val="a"/>
    <w:link w:val="a9"/>
    <w:uiPriority w:val="99"/>
    <w:unhideWhenUsed/>
    <w:rsid w:val="00AD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Semeshchuk</dc:creator>
  <cp:lastModifiedBy>Natalia Semeshchuk</cp:lastModifiedBy>
  <cp:revision>6</cp:revision>
  <cp:lastPrinted>2020-07-22T12:52:00Z</cp:lastPrinted>
  <dcterms:created xsi:type="dcterms:W3CDTF">2022-12-06T12:20:00Z</dcterms:created>
  <dcterms:modified xsi:type="dcterms:W3CDTF">2023-03-06T15:00:00Z</dcterms:modified>
</cp:coreProperties>
</file>