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15" w:rsidRPr="003438A2" w:rsidRDefault="00D14A15" w:rsidP="00D14A15">
      <w:pPr>
        <w:tabs>
          <w:tab w:val="left" w:pos="0"/>
        </w:tabs>
        <w:spacing w:after="0" w:line="240" w:lineRule="auto"/>
        <w:ind w:left="8080" w:hanging="1417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Додаток №7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до Договору споживача про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надання 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left="8080" w:hanging="1417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послуг з розподілу (передачі) електричної енергії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left="8931" w:hanging="1984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«__</w:t>
      </w:r>
      <w:r w:rsidR="0063066F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__</w:t>
      </w:r>
      <w:r w:rsidR="00B10621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»_____________ 20___</w:t>
      </w:r>
      <w:r w:rsidR="00077643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р. № </w:t>
      </w:r>
      <w:r w:rsidR="00B10621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_________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left="8080" w:hanging="2977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Порядок розрахунку втрат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електроенергії в мережі споживача (субспоживача)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  <w:tab w:val="left" w:pos="9781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Цей порядок складено відповідно до Правил роздрібного ринку електричної енергії, затверджених постановою НКРЕКП від 14.03.2018 № 312, Кодексу комерційного обліку електричної енергії, затвердженого постановою НКРЕКП від 14.03.2018 № 311 та Методичних рекомендацій визначення технологічних витрат електроенергії в трансформаторах і лініях електропередавання, затверджених наказом Міненерговугілля України від 21.06.2013 № 399 (далі Методичні рекомендації).</w:t>
      </w:r>
    </w:p>
    <w:p w:rsidR="00D14A15" w:rsidRPr="003438A2" w:rsidRDefault="00D14A15" w:rsidP="00D14A15">
      <w:pPr>
        <w:tabs>
          <w:tab w:val="left" w:pos="0"/>
          <w:tab w:val="left" w:pos="9781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1. Для розрахунку втрат використано дані, зазначені в Таблицях 1-</w:t>
      </w:r>
      <w:r w:rsidR="007712E4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3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, Акті розмежування балансової належності електромереж та експлуатаційної відповідальності сторін та однолінійній схемі, що є додатками 5 та 6 до цього договору.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 Визначення втрат в елементах електричної мережі.</w:t>
      </w:r>
    </w:p>
    <w:p w:rsidR="00D14A15" w:rsidRPr="003438A2" w:rsidRDefault="00D14A15" w:rsidP="00D14A15">
      <w:pPr>
        <w:tabs>
          <w:tab w:val="left" w:pos="0"/>
          <w:tab w:val="left" w:pos="346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Таблиці з вихідними даними (Таблиця 1-</w:t>
      </w:r>
      <w:r w:rsidR="00246588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3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) для непобутових споживачів заповнюються у разі:</w:t>
      </w:r>
    </w:p>
    <w:p w:rsidR="00D14A15" w:rsidRPr="003438A2" w:rsidRDefault="00D14A15" w:rsidP="00D14A15">
      <w:pPr>
        <w:tabs>
          <w:tab w:val="left" w:pos="0"/>
          <w:tab w:val="left" w:pos="346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встановлення розрахункових засобів обліку Споживача не на межі балансової належності його електромереж;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використання технологічних електричних мереж Споживача для передачі електричної енергії субспоживачам або для транспортування електричної енергії в мережі Оператора системи розподілу, (втрати спільного використання);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якщо мережі інших власників, що використовуються для передачі електричної енергії Споживачу, субспоживачу (до точки вимірювання) або в мережі Оператора системи розподілу, знаходяться під обліком Споживача (втрати транспортування).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Оператор системи розподілу визначає </w:t>
      </w:r>
      <w:r w:rsidRPr="003438A2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  <w:t xml:space="preserve">розрахунковим шляхом обсяги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втрат електричної енергії в технологічних електричних мережах Споживача автоматично щомісяця за даними споживання активної та реактивної електричної енергії згідно з пунктами Методичних рекомендацій, зазначеними в Розділах 2.1, 2.2, 2.3 цього додатку. Обсяги втрат електричної енергії додаються до (віднімаються від) обсягів, визначених за показами засобів обліку Споживача залежно від схеми приєднання засобів обліку.</w:t>
      </w:r>
    </w:p>
    <w:p w:rsidR="00D14A15" w:rsidRPr="003438A2" w:rsidRDefault="00D14A15" w:rsidP="00D14A15">
      <w:pPr>
        <w:tabs>
          <w:tab w:val="left" w:pos="0"/>
          <w:tab w:val="left" w:pos="3460"/>
          <w:tab w:val="left" w:pos="9923"/>
        </w:tabs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Для побутових споживачів таблиці з вихідними даними (Таблиця 1-2) заповнюються у разі, якщо у власності споживача перебувають електричні мережі напругою 1 кВ та вище, а прилад обліку встановлений не на межі розподілу електромереж.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Втрати електричної енергії на ділянці електромережі від межі розподілу до місця встановлення приладу обліку відносяться на рахунок власника зазначеної ділянки електромережі.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Втрати електричної енергії в мережах Основного споживача, пов'язані з передачею електричної енергії Субспоживачам, враховуються пропорційно до частки її споживання різними Субспоживачами. Відповідно до існуючої на момент оформлення даного Договору схеми живлення Споживача та з урахуванням місць встановлення засобів обліку електричної енергії при розрахунках за спожиту електричну енергію (необхідне відмітити).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У разі повного відключення від електропостачання струмоприймачів основного споживача всі втрати електричної енергії у мережах основного споживача розподіляються між субспоживачами.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Умови щодо розрахунку втрат електричної енергії в мережах споживача, які не визначенні та не врегульовані  умовами договору та  цим додатком, визначаються у відповідності до вимог чинного за</w:t>
      </w:r>
      <w:r w:rsidR="007712E4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к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онодавства України, в тому числі  Методичних рекомендацій визначення технологічних втрат електричної енергії в трансформаторах та лініях електропередавання, що затверджені наказом Міненерговугілля від 21.06.2013 р. № 399.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    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2.1. Розрахунок втрат електроенергії в трансформаторах і автотрансформаторах. 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2.1.1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Для рівня інформаційного забезпечення А втрати визначаються згідно з п.7.1 Методичних рекомендацій за формулами: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21.75pt" o:ole="">
            <v:imagedata r:id="rId7" o:title=""/>
          </v:shape>
          <o:OLEObject Type="Embed" ProgID="Equation.3" ShapeID="_x0000_i1025" DrawAspect="Content" ObjectID="_1819801014" r:id="rId8"/>
        </w:objec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vertAlign w:val="superscript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(кВт·год)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120" w:dyaOrig="400">
          <v:shape id="_x0000_i1026" type="#_x0000_t75" style="width:230.25pt;height:21.75pt" o:ole="">
            <v:imagedata r:id="rId9" o:title=""/>
          </v:shape>
          <o:OLEObject Type="Embed" ProgID="Equation.3" ShapeID="_x0000_i1026" DrawAspect="Content" ObjectID="_1819801015" r:id="rId10"/>
        </w:objec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(кВАр·год)</w:t>
      </w:r>
    </w:p>
    <w:p w:rsidR="00D14A15" w:rsidRPr="003438A2" w:rsidRDefault="00D14A15" w:rsidP="00E553CE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260" w:dyaOrig="400">
          <v:shape id="_x0000_i1027" type="#_x0000_t75" style="width:14.25pt;height:21.75pt" o:ole="">
            <v:imagedata r:id="rId11" o:title=""/>
          </v:shape>
          <o:OLEObject Type="Embed" ProgID="Equation.3" ShapeID="_x0000_i1027" DrawAspect="Content" ObjectID="_1819801016" r:id="rId12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середнє протягом розрахункового періоду діюче значення сили струму трансформатора, А;</w:t>
      </w:r>
    </w:p>
    <w:p w:rsidR="00D14A15" w:rsidRPr="003438A2" w:rsidRDefault="00D14A15" w:rsidP="00E553CE">
      <w:pPr>
        <w:tabs>
          <w:tab w:val="left" w:pos="0"/>
          <w:tab w:val="left" w:pos="99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279" w:dyaOrig="340">
          <v:shape id="_x0000_i1028" type="#_x0000_t75" style="width:14.25pt;height:21.75pt" o:ole="">
            <v:imagedata r:id="rId13" o:title=""/>
          </v:shape>
          <o:OLEObject Type="Embed" ProgID="Equation.3" ShapeID="_x0000_i1028" DrawAspect="Content" ObjectID="_1819801017" r:id="rId14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коефіцієнт форми графіка навантаження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трансформатора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;</w:t>
      </w:r>
    </w:p>
    <w:p w:rsidR="00D14A15" w:rsidRPr="003438A2" w:rsidRDefault="00D14A15" w:rsidP="00E553CE">
      <w:pPr>
        <w:tabs>
          <w:tab w:val="left" w:pos="0"/>
          <w:tab w:val="left" w:pos="99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320" w:dyaOrig="340">
          <v:shape id="_x0000_i1029" type="#_x0000_t75" style="width:21.75pt;height:21.75pt" o:ole="">
            <v:imagedata r:id="rId15" o:title=""/>
          </v:shape>
          <o:OLEObject Type="Embed" ProgID="Equation.3" ShapeID="_x0000_i1029" DrawAspect="Content" ObjectID="_1819801018" r:id="rId16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– активний опір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трансформатора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, Ом.;</w:t>
      </w:r>
    </w:p>
    <w:p w:rsidR="00D14A15" w:rsidRPr="003438A2" w:rsidRDefault="00D14A15" w:rsidP="00E553CE">
      <w:pPr>
        <w:tabs>
          <w:tab w:val="left" w:pos="0"/>
          <w:tab w:val="left" w:pos="709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2"/>
          <w:sz w:val="18"/>
          <w:szCs w:val="18"/>
          <w:lang w:val="uk-UA" w:eastAsia="uk-UA"/>
        </w:rPr>
        <w:object w:dxaOrig="520" w:dyaOrig="360">
          <v:shape id="_x0000_i1030" type="#_x0000_t75" style="width:28.5pt;height:21.75pt" o:ole="">
            <v:imagedata r:id="rId17" o:title=""/>
          </v:shape>
          <o:OLEObject Type="Embed" ProgID="Equation.3" ShapeID="_x0000_i1030" DrawAspect="Content" ObjectID="_1819801019" r:id="rId18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втрати неробочого ходу трансформатора, кВт;</w:t>
      </w:r>
    </w:p>
    <w:p w:rsidR="00D14A15" w:rsidRPr="003438A2" w:rsidRDefault="00D14A15" w:rsidP="00E553CE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360" w:dyaOrig="340">
          <v:shape id="_x0000_i1031" type="#_x0000_t75" style="width:21.75pt;height:21.75pt" o:ole="">
            <v:imagedata r:id="rId19" o:title=""/>
          </v:shape>
          <o:OLEObject Type="Embed" ProgID="Equation.3" ShapeID="_x0000_i1031" DrawAspect="Content" ObjectID="_1819801020" r:id="rId20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– реактивний опір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трансформатора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, Ом;</w:t>
      </w:r>
    </w:p>
    <w:p w:rsidR="00D14A15" w:rsidRPr="003438A2" w:rsidRDefault="00D14A15" w:rsidP="00E553CE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2"/>
          <w:sz w:val="18"/>
          <w:szCs w:val="18"/>
          <w:lang w:val="uk-UA" w:eastAsia="uk-UA"/>
        </w:rPr>
        <w:object w:dxaOrig="560" w:dyaOrig="360">
          <v:shape id="_x0000_i1032" type="#_x0000_t75" style="width:28.5pt;height:21.75pt" o:ole="">
            <v:imagedata r:id="rId21" o:title=""/>
          </v:shape>
          <o:OLEObject Type="Embed" ProgID="Equation.3" ShapeID="_x0000_i1032" DrawAspect="Content" ObjectID="_1819801021" r:id="rId22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реактивна потужність втрат неробочого  ходу трансформатора, кВАр;</w:t>
      </w:r>
    </w:p>
    <w:p w:rsidR="00D14A15" w:rsidRPr="003438A2" w:rsidRDefault="00D14A15" w:rsidP="00E553CE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279" w:dyaOrig="340">
          <v:shape id="_x0000_i1033" type="#_x0000_t75" style="width:14.25pt;height:21.75pt" o:ole="">
            <v:imagedata r:id="rId23" o:title=""/>
          </v:shape>
          <o:OLEObject Type="Embed" ProgID="Equation.3" ShapeID="_x0000_i1033" DrawAspect="Content" ObjectID="_1819801022" r:id="rId24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час роботи трансформатора під навантаженням протягом розрахункового періоду, години;</w:t>
      </w:r>
    </w:p>
    <w:p w:rsidR="00D14A15" w:rsidRPr="003438A2" w:rsidRDefault="00D14A15" w:rsidP="00E553CE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320" w:dyaOrig="340">
          <v:shape id="_x0000_i1034" type="#_x0000_t75" style="width:21.75pt;height:21.75pt" o:ole="">
            <v:imagedata r:id="rId25" o:title=""/>
          </v:shape>
          <o:OLEObject Type="Embed" ProgID="Equation.3" ShapeID="_x0000_i1034" DrawAspect="Content" ObjectID="_1819801023" r:id="rId26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час находження трансформатора під напругою протягом розрахункового періоду, години.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2.1.2.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Для рівня інформаційного забезпечення Б втрати визначаються згідно з п.7.3 Методичних рекомендацій.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2.1.3.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Вихідні дані для розрахунку втрат наведені в Таблиці 1.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left="7081" w:right="29" w:firstLine="70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Таблиця 1</w:t>
      </w:r>
    </w:p>
    <w:tbl>
      <w:tblPr>
        <w:tblW w:w="495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1128"/>
        <w:gridCol w:w="1125"/>
        <w:gridCol w:w="520"/>
        <w:gridCol w:w="557"/>
        <w:gridCol w:w="993"/>
        <w:gridCol w:w="1545"/>
        <w:gridCol w:w="1377"/>
        <w:gridCol w:w="2634"/>
      </w:tblGrid>
      <w:tr w:rsidR="00AD4F91" w:rsidRPr="003438A2" w:rsidTr="00384CF6">
        <w:trPr>
          <w:trHeight w:val="292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Точка обліку</w:t>
            </w:r>
          </w:p>
          <w:p w:rsidR="00AD4F91" w:rsidRPr="003438A2" w:rsidRDefault="00AD4F91" w:rsidP="00384CF6">
            <w:pPr>
              <w:spacing w:after="0" w:line="240" w:lineRule="auto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(№ТП)</w:t>
            </w:r>
          </w:p>
        </w:tc>
        <w:tc>
          <w:tcPr>
            <w:tcW w:w="15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Паспорті дані трансформатора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Сезонні к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оеф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т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</w:p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форми графіка наванта-ження</w:t>
            </w:r>
            <w:r w:rsidRPr="003438A2">
              <w:rPr>
                <w:rFonts w:ascii="Times New Roman" w:hAnsi="Times New Roman"/>
                <w:sz w:val="18"/>
                <w:szCs w:val="18"/>
                <w:vertAlign w:val="superscript"/>
                <w:lang w:val="uk-UA"/>
              </w:rPr>
              <w:t>*</w:t>
            </w:r>
          </w:p>
        </w:tc>
        <w:tc>
          <w:tcPr>
            <w:tcW w:w="26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r w:rsidRPr="003438A2">
              <w:rPr>
                <w:rFonts w:ascii="Times New Roman" w:hAnsi="Times New Roman"/>
                <w:bCs/>
                <w:sz w:val="18"/>
                <w:szCs w:val="18"/>
                <w:lang w:val="uk-UA" w:eastAsia="en-US"/>
              </w:rPr>
              <w:t xml:space="preserve">Втрати електричної енергії Споживачу </w:t>
            </w:r>
          </w:p>
        </w:tc>
      </w:tr>
      <w:tr w:rsidR="00AD4F91" w:rsidRPr="003438A2" w:rsidTr="00384CF6">
        <w:trPr>
          <w:trHeight w:val="6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Ном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 xml:space="preserve"> потужність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 xml:space="preserve"> S</w:t>
            </w:r>
            <w:r w:rsidRPr="003438A2">
              <w:rPr>
                <w:rFonts w:ascii="Times New Roman" w:hAnsi="Times New Roman"/>
                <w:sz w:val="18"/>
                <w:szCs w:val="18"/>
                <w:vertAlign w:val="subscript"/>
              </w:rPr>
              <w:t>H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, кВА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Номінальна напруга,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U</w:t>
            </w:r>
            <w:r w:rsidRPr="003438A2">
              <w:rPr>
                <w:rFonts w:ascii="Times New Roman" w:hAnsi="Times New Roman"/>
                <w:sz w:val="18"/>
                <w:szCs w:val="18"/>
                <w:vertAlign w:val="subscript"/>
              </w:rPr>
              <w:t>Н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,</w:t>
            </w: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438A2">
              <w:rPr>
                <w:rFonts w:ascii="Times New Roman" w:hAnsi="Times New Roman"/>
                <w:sz w:val="18"/>
                <w:szCs w:val="18"/>
              </w:rPr>
              <w:t>кВ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Р</w:t>
            </w:r>
            <w:r w:rsidRPr="003438A2">
              <w:rPr>
                <w:rFonts w:ascii="Times New Roman" w:hAnsi="Times New Roman"/>
                <w:sz w:val="18"/>
                <w:szCs w:val="18"/>
                <w:vertAlign w:val="subscript"/>
              </w:rPr>
              <w:t>Н.Х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Р</w:t>
            </w:r>
            <w:r w:rsidRPr="003438A2">
              <w:rPr>
                <w:rFonts w:ascii="Times New Roman" w:hAnsi="Times New Roman"/>
                <w:sz w:val="18"/>
                <w:szCs w:val="18"/>
                <w:vertAlign w:val="subscript"/>
              </w:rPr>
              <w:t>К.З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не нараховуються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нараховуються в повному обсязі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FD5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нараховуються </w:t>
            </w:r>
            <w:r w:rsidR="00FD5B2D"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з урахуванням розподілу</w:t>
            </w:r>
            <w:r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втрат, пов’язаних з передачею електричної енергії Субспоживачам</w:t>
            </w:r>
            <w:r w:rsidR="00FD5B2D"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/основному споживачу</w:t>
            </w:r>
            <w:r w:rsidRPr="003438A2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та/або Оператору системи</w:t>
            </w:r>
          </w:p>
        </w:tc>
      </w:tr>
      <w:tr w:rsidR="00AD4F91" w:rsidRPr="003438A2" w:rsidTr="00384CF6"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A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</w:tr>
      <w:tr w:rsidR="00AD4F91" w:rsidRPr="003438A2" w:rsidTr="00384CF6">
        <w:trPr>
          <w:trHeight w:val="232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</w:tr>
      <w:tr w:rsidR="00AD4F91" w:rsidRPr="003438A2" w:rsidTr="00384CF6">
        <w:trPr>
          <w:trHeight w:val="232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</w:tr>
      <w:tr w:rsidR="0063066F" w:rsidRPr="003438A2" w:rsidTr="00384CF6">
        <w:trPr>
          <w:trHeight w:val="232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6F" w:rsidRPr="003438A2" w:rsidRDefault="0063066F" w:rsidP="00384CF6">
            <w:pPr>
              <w:spacing w:after="0" w:line="240" w:lineRule="auto"/>
              <w:jc w:val="center"/>
              <w:rPr>
                <w:rStyle w:val="a5"/>
                <w:sz w:val="18"/>
                <w:szCs w:val="18"/>
                <w:lang w:val="uk-UA"/>
              </w:rPr>
            </w:pPr>
          </w:p>
        </w:tc>
      </w:tr>
    </w:tbl>
    <w:p w:rsidR="00AD4F91" w:rsidRPr="003438A2" w:rsidRDefault="00AD4F91" w:rsidP="00D14A15">
      <w:pPr>
        <w:tabs>
          <w:tab w:val="left" w:pos="0"/>
        </w:tabs>
        <w:spacing w:after="0" w:line="216" w:lineRule="auto"/>
        <w:ind w:left="7081" w:right="29" w:firstLine="70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p w:rsidR="00D14A15" w:rsidRPr="003438A2" w:rsidRDefault="00D14A15" w:rsidP="00E553CE">
      <w:pPr>
        <w:numPr>
          <w:ilvl w:val="0"/>
          <w:numId w:val="1"/>
        </w:numPr>
        <w:tabs>
          <w:tab w:val="left" w:pos="0"/>
        </w:tabs>
        <w:spacing w:after="0" w:line="216" w:lineRule="auto"/>
        <w:ind w:left="567" w:right="169" w:hanging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коефіцієнт форми  графіка навантаження приймають за таблицями 7.1-7.3 Методичних рекомендацій. У випадку неможливості чіткого визначення характеристики споживача (віднесення до тієї чи іншої групи, змішане навантаження, інше), за згодою сторін Кф</w:t>
      </w:r>
      <w:r w:rsidRPr="003438A2">
        <w:rPr>
          <w:rFonts w:ascii="Times New Roman" w:eastAsia="Times New Roman" w:hAnsi="Times New Roman" w:cs="Times New Roman"/>
          <w:sz w:val="18"/>
          <w:szCs w:val="18"/>
          <w:vertAlign w:val="superscript"/>
          <w:lang w:val="uk-UA" w:eastAsia="uk-UA"/>
        </w:rPr>
        <w:t>2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=1,15.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6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 Розрахунок втрат в лініях електропередавання (ЛЕП).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2.2.1.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Для рівня інформаційного забезпечення А втрати визначаються відповідно до п.7.2, 7.5, 7.6 Методичних рекомендацій за формулами.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2.2.1.1.</w:t>
      </w:r>
      <w:r w:rsidRPr="003438A2">
        <w:rPr>
          <w:rFonts w:ascii="Times New Roman" w:eastAsia="Times New Roman" w:hAnsi="Times New Roman" w:cs="Times New Roman"/>
          <w:bCs/>
          <w:i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В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трати активної енергії у кВт·год в проводах (ПЛ) або жилах кабелів (КЛ) розраховують за формулою: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3159" w:dyaOrig="380">
          <v:shape id="_x0000_i1035" type="#_x0000_t75" style="width:180pt;height:21.75pt" o:ole="">
            <v:imagedata r:id="rId27" o:title=""/>
          </v:shape>
          <o:OLEObject Type="Embed" ProgID="Equation.3" ShapeID="_x0000_i1035" DrawAspect="Content" ObjectID="_1819801024" r:id="rId28"/>
        </w:objec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i/>
          <w:position w:val="-6"/>
          <w:sz w:val="18"/>
          <w:szCs w:val="18"/>
          <w:lang w:val="uk-UA" w:eastAsia="uk-UA"/>
        </w:rPr>
        <w:object w:dxaOrig="220" w:dyaOrig="240">
          <v:shape id="_x0000_i1036" type="#_x0000_t75" style="width:7.5pt;height:14.25pt" o:ole="">
            <v:imagedata r:id="rId29" o:title=""/>
          </v:shape>
          <o:OLEObject Type="Embed" ProgID="Equation.3" ShapeID="_x0000_i1036" DrawAspect="Content" ObjectID="_1819801025" r:id="rId30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коефіцієнт, що дорівнює 3 для трифазної мережі і 2 для однофазної мережі;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279" w:dyaOrig="400">
          <v:shape id="_x0000_i1037" type="#_x0000_t75" style="width:14.25pt;height:21.75pt" o:ole="">
            <v:imagedata r:id="rId31" o:title=""/>
          </v:shape>
          <o:OLEObject Type="Embed" ProgID="Equation.3" ShapeID="_x0000_i1037" DrawAspect="Content" ObjectID="_1819801026" r:id="rId32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середнє протягом розрахункового періоду діюче значення сили струму ЛЕП, квадрат якого обчислюється за формулою 7.3 Методичних</w:t>
      </w:r>
      <w:r w:rsidR="00B22CB6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рекомендацій, А;  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28"/>
          <w:sz w:val="18"/>
          <w:szCs w:val="18"/>
          <w:lang w:val="uk-UA" w:eastAsia="uk-UA"/>
        </w:rPr>
        <w:object w:dxaOrig="1579" w:dyaOrig="680">
          <v:shape id="_x0000_i1038" type="#_x0000_t75" style="width:86.25pt;height:36pt" o:ole="">
            <v:imagedata r:id="rId33" o:title=""/>
          </v:shape>
          <o:OLEObject Type="Embed" ProgID="Equation.3" ShapeID="_x0000_i1038" DrawAspect="Content" ObjectID="_1819801027" r:id="rId34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еквівалентний активний опір фази ЛЕП, Ом;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60" w:dyaOrig="360">
          <v:shape id="_x0000_i1039" type="#_x0000_t75" style="width:28.5pt;height:21.75pt" o:ole="">
            <v:imagedata r:id="rId35" o:title=""/>
          </v:shape>
          <o:OLEObject Type="Embed" ProgID="Equation.3" ShapeID="_x0000_i1039" DrawAspect="Content" ObjectID="_1819801028" r:id="rId36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питомий опір фази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m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-тої ділянки ЛЕП із однаковим перерізом проводу (кабелю), Ом/км;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00" w:dyaOrig="360">
          <v:shape id="_x0000_i1040" type="#_x0000_t75" style="width:21.75pt;height:21.75pt" o:ole="">
            <v:imagedata r:id="rId37" o:title=""/>
          </v:shape>
          <o:OLEObject Type="Embed" ProgID="Equation.3" ShapeID="_x0000_i1040" DrawAspect="Content" ObjectID="_1819801029" r:id="rId38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довжина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m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-тої ділянки ЛЕП із однаковим перерізом проводу (кабелю) з урахуванням його провисання, укладання «змійкою» тощо, км;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object w:dxaOrig="200" w:dyaOrig="220">
          <v:shape id="_x0000_i1041" type="#_x0000_t75" style="width:7.5pt;height:14.25pt" o:ole="">
            <v:imagedata r:id="rId39" o:title=""/>
          </v:shape>
          <o:OLEObject Type="Embed" ProgID="Equation.3" ShapeID="_x0000_i1041" DrawAspect="Content" ObjectID="_1819801030" r:id="rId40"/>
        </w:object>
      </w: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кількість ділянок ЛЕП із однаковим перерізом проводу (кабелю);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8"/>
          <w:sz w:val="18"/>
          <w:szCs w:val="18"/>
          <w:lang w:val="uk-UA" w:eastAsia="uk-UA"/>
        </w:rPr>
        <w:object w:dxaOrig="340" w:dyaOrig="440">
          <v:shape id="_x0000_i1042" type="#_x0000_t75" style="width:21.75pt;height:28.5pt" o:ole="">
            <v:imagedata r:id="rId41" o:title=""/>
          </v:shape>
          <o:OLEObject Type="Embed" ProgID="Equation.3" ShapeID="_x0000_i1042" DrawAspect="Content" ObjectID="_1819801031" r:id="rId42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коефіцієнт форми графіка навантаження ЛЕП;</w:t>
      </w:r>
    </w:p>
    <w:p w:rsidR="00D14A15" w:rsidRPr="003438A2" w:rsidRDefault="00D14A15" w:rsidP="0036701F">
      <w:pPr>
        <w:tabs>
          <w:tab w:val="left" w:pos="14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279" w:dyaOrig="340">
          <v:shape id="_x0000_i1043" type="#_x0000_t75" style="width:14.25pt;height:21.75pt" o:ole="">
            <v:imagedata r:id="rId23" o:title=""/>
          </v:shape>
          <o:OLEObject Type="Embed" ProgID="Equation.3" ShapeID="_x0000_i1043" DrawAspect="Content" ObjectID="_1819801032" r:id="rId4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час роботи ЛЕП під навантаженням протягом розрахункового періоду, години.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2.2.1.2.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Втрати реактивної енергії у кВАр·год в ЛЕП розраховують за формулою: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left="851" w:firstLine="567"/>
        <w:jc w:val="center"/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28"/>
          <w:sz w:val="18"/>
          <w:szCs w:val="18"/>
          <w:lang w:val="uk-UA" w:eastAsia="uk-UA"/>
        </w:rPr>
        <w:object w:dxaOrig="5040" w:dyaOrig="560">
          <v:shape id="_x0000_i1044" type="#_x0000_t75" style="width:273.75pt;height:28.5pt" o:ole="">
            <v:imagedata r:id="rId44" o:title=""/>
          </v:shape>
          <o:OLEObject Type="Embed" ProgID="Equation.3" ShapeID="_x0000_i1044" DrawAspect="Content" ObjectID="_1819801033" r:id="rId4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(кВАр·год)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i/>
          <w:position w:val="-28"/>
          <w:sz w:val="18"/>
          <w:szCs w:val="18"/>
          <w:lang w:val="uk-UA" w:eastAsia="uk-UA"/>
        </w:rPr>
        <w:object w:dxaOrig="1680" w:dyaOrig="680">
          <v:shape id="_x0000_i1045" type="#_x0000_t75" style="width:86.25pt;height:36pt" o:ole="">
            <v:imagedata r:id="rId46" o:title=""/>
          </v:shape>
          <o:OLEObject Type="Embed" ProgID="Equation.3" ShapeID="_x0000_i1045" DrawAspect="Content" ObjectID="_1819801034" r:id="rId4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еквівалентний індуктивний опір фази ПЛ (КЛ), Ом;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99" w:dyaOrig="360">
          <v:shape id="_x0000_i1046" type="#_x0000_t75" style="width:28.5pt;height:21.75pt" o:ole="">
            <v:imagedata r:id="rId48" o:title=""/>
          </v:shape>
          <o:OLEObject Type="Embed" ProgID="Equation.3" ShapeID="_x0000_i1046" DrawAspect="Content" ObjectID="_1819801035" r:id="rId4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питомий індуктивний опір фази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m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-тої ділянки ПЛ (КЛ) з однаковим перерізом проводу, Ом/км;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00" w:dyaOrig="360">
          <v:shape id="_x0000_i1047" type="#_x0000_t75" style="width:21.75pt;height:21.75pt" o:ole="">
            <v:imagedata r:id="rId50" o:title=""/>
          </v:shape>
          <o:OLEObject Type="Embed" ProgID="Equation.3" ShapeID="_x0000_i1047" DrawAspect="Content" ObjectID="_1819801036" r:id="rId51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довжина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m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-тої ділянки ПЛ (КЛ) з однаковою площею перерізу проводу з урахуванням його провисання, укладання «змійкою» тощо, км;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540" w:dyaOrig="360">
          <v:shape id="_x0000_i1048" type="#_x0000_t75" style="width:28.5pt;height:21.75pt" o:ole="">
            <v:imagedata r:id="rId52" o:title=""/>
          </v:shape>
          <o:OLEObject Type="Embed" ProgID="Equation.3" ShapeID="_x0000_i1048" DrawAspect="Content" ObjectID="_1819801037" r:id="rId5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питома генерація реактивної потужності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m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-тої ділянки ПЛ (КЛ) з однаковою площею перерізу проводу, кВАр/км; 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object w:dxaOrig="200" w:dyaOrig="220">
          <v:shape id="_x0000_i1049" type="#_x0000_t75" style="width:14.25pt;height:14.25pt" o:ole="">
            <v:imagedata r:id="rId54" o:title=""/>
          </v:shape>
          <o:OLEObject Type="Embed" ProgID="Equation.3" ShapeID="_x0000_i1049" DrawAspect="Content" ObjectID="_1819801038" r:id="rId55"/>
        </w:object>
      </w: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 кількість ділянок ЛЕП із однаковим перерізом проводу (кабелю);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80" w:dyaOrig="360">
          <v:shape id="_x0000_i1050" type="#_x0000_t75" style="width:21.75pt;height:21.75pt" o:ole="">
            <v:imagedata r:id="rId56" o:title=""/>
          </v:shape>
          <o:OLEObject Type="Embed" ProgID="Equation.DSMT4" ShapeID="_x0000_i1050" DrawAspect="Content" ObjectID="_1819801039" r:id="rId5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- номінальна напруга ПЛ (КЛ);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i/>
          <w:position w:val="-10"/>
          <w:sz w:val="18"/>
          <w:szCs w:val="18"/>
          <w:lang w:val="uk-UA" w:eastAsia="uk-UA"/>
        </w:rPr>
        <w:object w:dxaOrig="279" w:dyaOrig="340">
          <v:shape id="_x0000_i1051" type="#_x0000_t75" style="width:14.25pt;height:21.75pt" o:ole="">
            <v:imagedata r:id="rId23" o:title=""/>
          </v:shape>
          <o:OLEObject Type="Embed" ProgID="Equation.3" ShapeID="_x0000_i1051" DrawAspect="Content" ObjectID="_1819801040" r:id="rId58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час роботи ЛЕП під навантаженням протягом розрахункового періоду, години.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320" w:dyaOrig="340">
          <v:shape id="_x0000_i1052" type="#_x0000_t75" style="width:21.75pt;height:21.75pt" o:ole="">
            <v:imagedata r:id="rId25" o:title=""/>
          </v:shape>
          <o:OLEObject Type="Embed" ProgID="Equation.3" ShapeID="_x0000_i1052" DrawAspect="Content" ObjectID="_1819801041" r:id="rId5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час находження ПЛ (КЛ) під напругою, години.</w:t>
      </w:r>
    </w:p>
    <w:p w:rsidR="00D14A15" w:rsidRPr="003438A2" w:rsidRDefault="00D14A15" w:rsidP="0036701F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Якщо 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960" w:dyaOrig="360">
          <v:shape id="_x0000_i1053" type="#_x0000_t75" style="width:57.75pt;height:21.75pt" o:ole="">
            <v:imagedata r:id="rId60" o:title=""/>
          </v:shape>
          <o:OLEObject Type="Embed" ProgID="Equation.3" ShapeID="_x0000_i1053" DrawAspect="Content" ObjectID="_1819801042" r:id="rId61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кВ (для ПЛ), або 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859" w:dyaOrig="360">
          <v:shape id="_x0000_i1054" type="#_x0000_t75" style="width:43.5pt;height:21.75pt" o:ole="">
            <v:imagedata r:id="rId62" o:title=""/>
          </v:shape>
          <o:OLEObject Type="Embed" ProgID="Equation.3" ShapeID="_x0000_i1054" DrawAspect="Content" ObjectID="_1819801043" r:id="rId6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кВ (для КЛ) другий доданок у формулі приймають рівним нулю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2.2.1.3.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Кліматичні втрати електроенергії у кВт·год в ізоляції ПЛ розраховують за формулою: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left="851" w:firstLine="567"/>
        <w:jc w:val="center"/>
        <w:rPr>
          <w:rFonts w:ascii="Times New Roman" w:eastAsia="Times New Roman" w:hAnsi="Times New Roman" w:cs="Times New Roman"/>
          <w:bCs/>
          <w:position w:val="-28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Cs/>
          <w:position w:val="-14"/>
          <w:sz w:val="18"/>
          <w:szCs w:val="18"/>
          <w:lang w:val="uk-UA" w:eastAsia="uk-UA"/>
        </w:rPr>
        <w:object w:dxaOrig="3500" w:dyaOrig="420">
          <v:shape id="_x0000_i1055" type="#_x0000_t75" style="width:201.75pt;height:28.5pt" o:ole="">
            <v:imagedata r:id="rId64" o:title=""/>
          </v:shape>
          <o:OLEObject Type="Embed" ProgID="Equation.3" ShapeID="_x0000_i1055" DrawAspect="Content" ObjectID="_1819801044" r:id="rId65"/>
        </w:objec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bCs/>
          <w:position w:val="-14"/>
          <w:sz w:val="18"/>
          <w:szCs w:val="18"/>
          <w:lang w:val="uk-UA" w:eastAsia="uk-UA"/>
        </w:rPr>
        <w:object w:dxaOrig="940" w:dyaOrig="380">
          <v:shape id="_x0000_i1056" type="#_x0000_t75" style="width:50.25pt;height:21.75pt" o:ole="">
            <v:imagedata r:id="rId66" o:title=""/>
          </v:shape>
          <o:OLEObject Type="Embed" ProgID="Equation.3" ShapeID="_x0000_i1056" DrawAspect="Content" ObjectID="_1819801045" r:id="rId67"/>
        </w:objec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 xml:space="preserve"> –  питомі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середньорічні втрати електроенергії в ізоляції ПЛ</w:t>
      </w:r>
      <w:r w:rsidRPr="003438A2">
        <w:rPr>
          <w:rFonts w:ascii="Times New Roman" w:eastAsia="Times New Roman" w:hAnsi="Times New Roman" w:cs="Times New Roman"/>
          <w:bCs/>
          <w:i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і-го ступеня напруги у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r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-тому регіоні, тис.кВт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ym w:font="Symbol" w:char="F0D7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год /км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;</w:t>
      </w:r>
    </w:p>
    <w:p w:rsidR="00D14A15" w:rsidRPr="003438A2" w:rsidRDefault="00D14A15" w:rsidP="0036701F">
      <w:pPr>
        <w:tabs>
          <w:tab w:val="left" w:pos="0"/>
        </w:tabs>
        <w:spacing w:after="120" w:line="216" w:lineRule="auto"/>
        <w:rPr>
          <w:rFonts w:ascii="Calibri" w:eastAsia="Calibri" w:hAnsi="Calibri" w:cs="Times New Roman"/>
          <w:bCs/>
          <w:sz w:val="18"/>
          <w:szCs w:val="18"/>
          <w:lang w:val="uk-UA" w:eastAsia="x-none"/>
        </w:rPr>
      </w:pPr>
      <w:r w:rsidRPr="003438A2">
        <w:rPr>
          <w:rFonts w:ascii="Calibri" w:eastAsia="Calibri" w:hAnsi="Calibri" w:cs="Times New Roman"/>
          <w:bCs/>
          <w:position w:val="-12"/>
          <w:sz w:val="18"/>
          <w:szCs w:val="18"/>
          <w:lang w:val="uk-UA" w:eastAsia="x-none"/>
        </w:rPr>
        <w:object w:dxaOrig="180" w:dyaOrig="360">
          <v:shape id="_x0000_i1057" type="#_x0000_t75" style="width:7.5pt;height:21.75pt" o:ole="">
            <v:imagedata r:id="rId68" o:title=""/>
          </v:shape>
          <o:OLEObject Type="Embed" ProgID="Equation.3" ShapeID="_x0000_i1057" DrawAspect="Content" ObjectID="_1819801046" r:id="rId69"/>
        </w:object>
      </w:r>
      <w:r w:rsidRPr="003438A2">
        <w:rPr>
          <w:rFonts w:ascii="Calibri" w:eastAsia="Calibri" w:hAnsi="Calibri" w:cs="Times New Roman"/>
          <w:bCs/>
          <w:sz w:val="18"/>
          <w:szCs w:val="18"/>
          <w:lang w:val="uk-UA" w:eastAsia="x-none"/>
        </w:rPr>
        <w:t xml:space="preserve"> – довжина ПЛ </w:t>
      </w:r>
      <w:r w:rsidRPr="003438A2">
        <w:rPr>
          <w:rFonts w:ascii="Calibri" w:eastAsia="Calibri" w:hAnsi="Calibri" w:cs="Times New Roman"/>
          <w:sz w:val="18"/>
          <w:szCs w:val="18"/>
          <w:lang w:val="uk-UA" w:eastAsia="x-none"/>
        </w:rPr>
        <w:t>і-го ступеня напруги</w:t>
      </w:r>
      <w:r w:rsidRPr="003438A2">
        <w:rPr>
          <w:rFonts w:ascii="Calibri" w:eastAsia="Calibri" w:hAnsi="Calibri" w:cs="Times New Roman"/>
          <w:bCs/>
          <w:sz w:val="18"/>
          <w:szCs w:val="18"/>
          <w:lang w:val="uk-UA" w:eastAsia="x-none"/>
        </w:rPr>
        <w:t>, км.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2.2.1.4.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Втрати електроенергії у кВт·год в ізоляції КЛ розраховують за формулою: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28"/>
          <w:sz w:val="18"/>
          <w:szCs w:val="18"/>
          <w:lang w:val="uk-UA" w:eastAsia="uk-UA"/>
        </w:rPr>
        <w:object w:dxaOrig="2960" w:dyaOrig="700">
          <v:shape id="_x0000_i1058" type="#_x0000_t75" style="width:165.75pt;height:36pt" o:ole="">
            <v:imagedata r:id="rId70" o:title=""/>
          </v:shape>
          <o:OLEObject Type="Embed" ProgID="Equation.3" ShapeID="_x0000_i1058" DrawAspect="Content" ObjectID="_1819801047" r:id="rId71"/>
        </w:object>
      </w:r>
    </w:p>
    <w:p w:rsidR="00D14A15" w:rsidRPr="003438A2" w:rsidRDefault="00D14A15" w:rsidP="0036701F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begin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∆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– </m:t>
        </m:r>
      </m:oMath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</w:instrTex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separate"/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540" w:dyaOrig="380">
          <v:shape id="_x0000_i1059" type="#_x0000_t75" style="width:28.5pt;height:21.75pt" o:ole="">
            <v:imagedata r:id="rId72" o:title=""/>
          </v:shape>
          <o:OLEObject Type="Embed" ProgID="Equation.3" ShapeID="_x0000_i1059" DrawAspect="Content" ObjectID="_1819801048" r:id="rId7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end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˗ питома зарядна потужність кабелю 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j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-го поперечного перерізу, кВАр/км;</w:t>
      </w:r>
    </w:p>
    <w:p w:rsidR="00D14A15" w:rsidRPr="003438A2" w:rsidRDefault="00D14A15" w:rsidP="0036701F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begin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j</m:t>
            </m:r>
          </m:sub>
        </m:sSub>
      </m:oMath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</w:instrTex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separate"/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260" w:dyaOrig="380">
          <v:shape id="_x0000_i1060" type="#_x0000_t75" style="width:14.25pt;height:21.75pt" o:ole="">
            <v:imagedata r:id="rId74" o:title=""/>
          </v:shape>
          <o:OLEObject Type="Embed" ProgID="Equation.3" ShapeID="_x0000_i1060" DrawAspect="Content" ObjectID="_1819801049" r:id="rId7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end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сумарна довжина ділянок ЛЕП, виконаних кабелем 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j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-го поперечного перерізу, км;</w:t>
      </w:r>
    </w:p>
    <w:p w:rsidR="00D14A15" w:rsidRPr="003438A2" w:rsidRDefault="00D14A15" w:rsidP="0036701F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begin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18"/>
            <w:szCs w:val="18"/>
            <w:lang w:val="en-US"/>
          </w:rPr>
          <m:t>δ</m:t>
        </m:r>
      </m:oMath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</w:instrTex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separate"/>
      </w: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420" w:dyaOrig="320">
          <v:shape id="_x0000_i1061" type="#_x0000_t75" style="width:21.75pt;height:14.25pt" o:ole="">
            <v:imagedata r:id="rId76" o:title=""/>
          </v:shape>
          <o:OLEObject Type="Embed" ProgID="Equation.3" ShapeID="_x0000_i1061" DrawAspect="Content" ObjectID="_1819801050" r:id="rId7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end"/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тангенс кута діелектричних втрат;</w:t>
      </w:r>
    </w:p>
    <w:p w:rsidR="00D14A15" w:rsidRPr="003438A2" w:rsidRDefault="00D14A15" w:rsidP="0036701F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begin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р</m:t>
            </m:r>
          </m:sub>
        </m:sSub>
      </m:oMath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instrText xml:space="preserve"> </w:instrTex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separate"/>
      </w: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320" w:dyaOrig="340">
          <v:shape id="_x0000_i1062" type="#_x0000_t75" style="width:14.25pt;height:21.75pt" o:ole="">
            <v:imagedata r:id="rId78" o:title=""/>
          </v:shape>
          <o:OLEObject Type="Embed" ProgID="Equation.3" ShapeID="_x0000_i1062" DrawAspect="Content" ObjectID="_1819801051" r:id="rId7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fldChar w:fldCharType="end"/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 xml:space="preserve">– час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находження 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КЛ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під напругою за розрахунковий період</w:t>
      </w:r>
      <w:r w:rsidRPr="003438A2">
        <w:rPr>
          <w:rFonts w:ascii="Times New Roman" w:eastAsia="Times New Roman" w:hAnsi="Times New Roman" w:cs="Times New Roman"/>
          <w:bCs/>
          <w:sz w:val="18"/>
          <w:szCs w:val="18"/>
          <w:lang w:val="uk-UA" w:eastAsia="uk-UA"/>
        </w:rPr>
        <w:t>, годин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Для рівня інформаційного забезпечення Б втрати визначаються відповідно до п.7.4, 7.5, 7.6 Методичних рекомендацій.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1417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2.2.3.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Вихідні дані для розрахунку втрат наведені в Таблиці 2.</w:t>
      </w:r>
    </w:p>
    <w:p w:rsidR="00AD4F91" w:rsidRPr="003438A2" w:rsidRDefault="00AD4F91" w:rsidP="0036701F">
      <w:pPr>
        <w:tabs>
          <w:tab w:val="left" w:pos="0"/>
        </w:tabs>
        <w:spacing w:after="0" w:line="216" w:lineRule="auto"/>
        <w:ind w:right="1417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417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Таблиця 2</w:t>
      </w:r>
    </w:p>
    <w:p w:rsidR="00AD4F91" w:rsidRPr="003438A2" w:rsidRDefault="00AD4F91" w:rsidP="00D14A15">
      <w:pPr>
        <w:tabs>
          <w:tab w:val="left" w:pos="0"/>
        </w:tabs>
        <w:spacing w:after="0" w:line="216" w:lineRule="auto"/>
        <w:ind w:right="1417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tbl>
      <w:tblPr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1276"/>
        <w:gridCol w:w="993"/>
        <w:gridCol w:w="709"/>
        <w:gridCol w:w="567"/>
        <w:gridCol w:w="993"/>
        <w:gridCol w:w="1274"/>
        <w:gridCol w:w="1135"/>
        <w:gridCol w:w="1394"/>
        <w:gridCol w:w="1582"/>
      </w:tblGrid>
      <w:tr w:rsidR="00AD4F91" w:rsidRPr="003438A2" w:rsidTr="0063066F"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Точка обліку </w:t>
            </w:r>
          </w:p>
        </w:tc>
        <w:tc>
          <w:tcPr>
            <w:tcW w:w="20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Паспорті дані ЛЕП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Сезонні к</w:t>
            </w: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оефіцієнт</w:t>
            </w: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</w:p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форми графіка навантаження</w:t>
            </w:r>
            <w:r w:rsidRPr="003438A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*</w:t>
            </w:r>
          </w:p>
        </w:tc>
        <w:tc>
          <w:tcPr>
            <w:tcW w:w="18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en-US"/>
              </w:rPr>
            </w:pPr>
            <w:r w:rsidRPr="003438A2">
              <w:rPr>
                <w:rFonts w:ascii="Times New Roman" w:hAnsi="Times New Roman"/>
                <w:bCs/>
                <w:sz w:val="18"/>
                <w:szCs w:val="18"/>
                <w:lang w:val="uk-UA" w:eastAsia="en-US"/>
              </w:rPr>
              <w:t xml:space="preserve">Втрати електричної енергії Споживачу </w:t>
            </w:r>
          </w:p>
        </w:tc>
      </w:tr>
      <w:tr w:rsidR="00AD4F91" w:rsidRPr="003438A2" w:rsidTr="0063066F">
        <w:trPr>
          <w:trHeight w:val="59"/>
        </w:trPr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Номінальна напруга, U</w:t>
            </w:r>
            <w:r w:rsidRPr="003438A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Н</w:t>
            </w: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, кВ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Тип ЛЕП (марка та січення проводу/кабелю)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Питомий опір, Ом/км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 w:line="240" w:lineRule="auto"/>
              <w:ind w:left="-16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Довжина,</w:t>
            </w:r>
          </w:p>
          <w:p w:rsidR="00AD4F91" w:rsidRPr="003438A2" w:rsidRDefault="00AD4F91" w:rsidP="00384CF6">
            <w:pPr>
              <w:spacing w:after="0" w:line="240" w:lineRule="auto"/>
              <w:ind w:left="-16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AD4F91" w:rsidRPr="003438A2" w:rsidTr="0063066F">
        <w:trPr>
          <w:trHeight w:val="760"/>
        </w:trPr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438A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438A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F91" w:rsidRPr="003438A2" w:rsidRDefault="00AD4F91" w:rsidP="00384CF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не нараховуються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нараховуються в повному обсязі</w:t>
            </w:r>
          </w:p>
          <w:p w:rsidR="00AD4F91" w:rsidRPr="003438A2" w:rsidRDefault="00AD4F91" w:rsidP="00384CF6">
            <w:pPr>
              <w:ind w:left="-137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нараховуються за мінусом втрат, пов’язаних з передачею електричної енергії Субспоживачам та/або Оператору системи</w:t>
            </w:r>
          </w:p>
        </w:tc>
      </w:tr>
      <w:tr w:rsidR="00AD4F91" w:rsidRPr="003438A2" w:rsidTr="0063066F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438A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  <w:tr w:rsidR="00AD4F91" w:rsidRPr="003438A2" w:rsidTr="0063066F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4F91" w:rsidRPr="003438A2" w:rsidTr="0063066F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1" w:rsidRPr="003438A2" w:rsidRDefault="00AD4F91" w:rsidP="0038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D14A15" w:rsidRPr="003438A2" w:rsidRDefault="00D14A15" w:rsidP="00D14A15">
      <w:pPr>
        <w:tabs>
          <w:tab w:val="left" w:pos="0"/>
        </w:tabs>
        <w:spacing w:after="0" w:line="216" w:lineRule="auto"/>
        <w:ind w:left="709" w:right="-396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2.3. Розрахунок втрат у зовнішній живильній мережі та внутрішньобудинкових мережах. 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Втрати електричної енергії, пов’язані з електропостачанням будинку, згідно з вимогами пункту 7.9 Методичних рекомендацій, визначають як суму втрат у зовнішній живильній мережі та внутрішніх мережах багатоповерхових житлових (офісних) будинків.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Втрати електричної енергії у внутрішніх мережах багатоповерхових житлових (офісних) будинків потрібно обчислювати для кожного із вводів як різницю одночасних показів лічильника електричної енергії, встановленого на вводі у житловий будинок і лічильників, за якими здійснюють облік електроенергії на внутрішньобудинкові потреби (освітлення сходів, сходових клітин, коридорів і технічних поверхів; потреби водопостачання і теплопостачання; світлозагорожа; робота ліфтів тощо) та у фізичних (юридичних) осіб цього будинку.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У разі відсутності лічильника на вводі у багатоповерховий житловий (офісний) будинок або лічильника обліку внутрішньобудинкових потреб або неможливості одночасного зчитування показів лічильників, значення втрат електричної енергії, пов’язаних із електропостачанням будинку, розраховують як суму втрат у зовнішній живильній мережі, внутрішньобудинковій мережі живлення споживачів (квартир, офісів тощо), втрат у лічильниках електричної енергії та втрат в опорах контактних з’єднань відгалужень до лічильників.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left="567" w:right="17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2.3.1.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Втрати активної електроенергії в кВт·год у зовнішній мережі обчислюють за формулами.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2.3.1.1.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встановлення окремих лічильників на внутрішньобудинкові потреби, а загальнобудинковий облік (або облік по під’їздам) відсутній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(«ВП»)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center"/>
        <w:rPr>
          <w:rFonts w:ascii="Times New Roman" w:eastAsia="Times New Roman" w:hAnsi="Times New Roman" w:cs="Times New Roman"/>
          <w:position w:val="-30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30"/>
          <w:sz w:val="18"/>
          <w:szCs w:val="18"/>
          <w:lang w:val="uk-UA" w:eastAsia="uk-UA"/>
        </w:rPr>
        <w:object w:dxaOrig="5220" w:dyaOrig="1100">
          <v:shape id="_x0000_i1063" type="#_x0000_t75" style="width:266.25pt;height:57.75pt" o:ole="">
            <v:imagedata r:id="rId80" o:title=""/>
          </v:shape>
          <o:OLEObject Type="Embed" ProgID="Equation.3" ShapeID="_x0000_i1063" DrawAspect="Content" ObjectID="_1819801052" r:id="rId81"/>
        </w:objec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2.3.1.2.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встановлення загальнобудинкового обліку (або обліку по під’їздам) та відсутності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(«ЗБ»)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або у разі встановлення загальнобудинкового обліку (або обліку по під’їздам) та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(«ЗБ ВП»)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та неможливості одночасного зчитування зчитування показів з лічильників споживачів:</w:t>
      </w:r>
    </w:p>
    <w:p w:rsidR="00D14A15" w:rsidRPr="003438A2" w:rsidRDefault="00D14A15" w:rsidP="00AD4F91">
      <w:pPr>
        <w:tabs>
          <w:tab w:val="left" w:pos="0"/>
        </w:tabs>
        <w:spacing w:after="0" w:line="216" w:lineRule="auto"/>
        <w:ind w:right="170" w:firstLine="567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30"/>
          <w:sz w:val="18"/>
          <w:szCs w:val="18"/>
          <w:lang w:val="uk-UA" w:eastAsia="uk-UA"/>
        </w:rPr>
        <w:object w:dxaOrig="3800" w:dyaOrig="760">
          <v:shape id="_x0000_i1064" type="#_x0000_t75" style="width:208.5pt;height:43.5pt" o:ole="">
            <v:imagedata r:id="rId82" o:title=""/>
          </v:shape>
          <o:OLEObject Type="Embed" ProgID="Equation.3" ShapeID="_x0000_i1064" DrawAspect="Content" ObjectID="_1819801053" r:id="rId83"/>
        </w:objec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2.3.1.3.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відсутності будь-якого загальнобудинкового обліку е\е та відсутності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(«О/Б»):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170"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30"/>
          <w:sz w:val="18"/>
          <w:szCs w:val="18"/>
          <w:lang w:val="uk-UA" w:eastAsia="uk-UA"/>
        </w:rPr>
        <w:object w:dxaOrig="3760" w:dyaOrig="1100">
          <v:shape id="_x0000_i1065" type="#_x0000_t75" style="width:194.25pt;height:57.75pt" o:ole="">
            <v:imagedata r:id="rId84" o:title=""/>
          </v:shape>
          <o:OLEObject Type="Embed" ProgID="Equation.3" ShapeID="_x0000_i1065" DrawAspect="Content" ObjectID="_1819801054" r:id="rId85"/>
        </w:objec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-538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2.3.1.4.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Вихідні дані для розрахунку втрат в зовнішній мережі наведені в Таблиці 2.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-284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Втрати активної електроенергії в кВт·год у внутрішньобудинковій мережі обчислюють за формулами.</w:t>
      </w:r>
    </w:p>
    <w:p w:rsidR="00D14A15" w:rsidRPr="003438A2" w:rsidRDefault="00D14A15" w:rsidP="00D14A15">
      <w:pPr>
        <w:tabs>
          <w:tab w:val="left" w:pos="0"/>
          <w:tab w:val="left" w:pos="9923"/>
        </w:tabs>
        <w:spacing w:after="0" w:line="216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2.3.2.1.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встановлення окремих лічильників на внутрішньобудинкові потреби, а загальнобудинковий облік (або облік по під’їздам) відсутній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(«ВП»)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: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ind w:right="-284" w:firstLine="567"/>
        <w:jc w:val="center"/>
        <w:rPr>
          <w:rFonts w:ascii="Times New Roman" w:eastAsia="Times New Roman" w:hAnsi="Times New Roman" w:cs="Times New Roman"/>
          <w:position w:val="-32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30"/>
          <w:sz w:val="18"/>
          <w:szCs w:val="18"/>
          <w:lang w:val="uk-UA" w:eastAsia="uk-UA"/>
        </w:rPr>
        <w:object w:dxaOrig="5060" w:dyaOrig="1100">
          <v:shape id="_x0000_i1066" type="#_x0000_t75" style="width:259.5pt;height:57.75pt" o:ole="">
            <v:imagedata r:id="rId86" o:title=""/>
          </v:shape>
          <o:OLEObject Type="Embed" ProgID="Equation.3" ShapeID="_x0000_i1066" DrawAspect="Content" ObjectID="_1819801055" r:id="rId87"/>
        </w:objec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2.3.2.2.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встановлення загальнобудинкового обліку (або обліку по під’їздам) та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(«ЗБ ВП»)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неможливості одночасного зчитування показів з лічильників споживачів:</w:t>
      </w:r>
    </w:p>
    <w:p w:rsidR="00D14A15" w:rsidRPr="003438A2" w:rsidRDefault="00D14A15" w:rsidP="00D14A15">
      <w:pPr>
        <w:tabs>
          <w:tab w:val="left" w:pos="0"/>
          <w:tab w:val="left" w:pos="709"/>
        </w:tabs>
        <w:spacing w:after="0" w:line="216" w:lineRule="auto"/>
        <w:ind w:right="-284" w:firstLine="56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48"/>
          <w:sz w:val="18"/>
          <w:szCs w:val="18"/>
          <w:lang w:val="uk-UA" w:eastAsia="uk-UA"/>
        </w:rPr>
        <w:object w:dxaOrig="5760" w:dyaOrig="1080">
          <v:shape id="_x0000_i1067" type="#_x0000_t75" style="width:4in;height:57.75pt" o:ole="">
            <v:imagedata r:id="rId88" o:title=""/>
          </v:shape>
          <o:OLEObject Type="Embed" ProgID="Equation.3" ShapeID="_x0000_i1067" DrawAspect="Content" ObjectID="_1819801056" r:id="rId89"/>
        </w:object>
      </w:r>
    </w:p>
    <w:p w:rsidR="00D14A15" w:rsidRPr="003438A2" w:rsidRDefault="00D14A15" w:rsidP="0036701F">
      <w:pPr>
        <w:tabs>
          <w:tab w:val="left" w:pos="0"/>
          <w:tab w:val="left" w:pos="142"/>
        </w:tabs>
        <w:spacing w:after="0" w:line="216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2.3.2.3.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У разі відсутності будь-якого загальнобудинкового обліку е\е та відсутності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(«О/Б»)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або встановлення загальнобудинкового обліку (або обліку по під’їздам) та відсутності лічильників на внутрішньобудинкові потреби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(«ЗБ»)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:</w:t>
      </w:r>
    </w:p>
    <w:p w:rsidR="00D14A15" w:rsidRPr="003438A2" w:rsidRDefault="00D14A15" w:rsidP="00D14A15">
      <w:pPr>
        <w:tabs>
          <w:tab w:val="left" w:pos="0"/>
          <w:tab w:val="left" w:pos="709"/>
        </w:tabs>
        <w:spacing w:after="0" w:line="216" w:lineRule="auto"/>
        <w:ind w:right="-284" w:firstLine="567"/>
        <w:jc w:val="center"/>
        <w:rPr>
          <w:rFonts w:ascii="Times New Roman" w:eastAsia="Times New Roman" w:hAnsi="Times New Roman" w:cs="Times New Roman"/>
          <w:position w:val="-72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70"/>
          <w:sz w:val="18"/>
          <w:szCs w:val="18"/>
          <w:lang w:val="uk-UA" w:eastAsia="uk-UA"/>
        </w:rPr>
        <w:object w:dxaOrig="5720" w:dyaOrig="1520">
          <v:shape id="_x0000_i1068" type="#_x0000_t75" style="width:295.5pt;height:79.5pt" o:ole="">
            <v:imagedata r:id="rId90" o:title=""/>
          </v:shape>
          <o:OLEObject Type="Embed" ProgID="Equation.3" ShapeID="_x0000_i1068" DrawAspect="Content" ObjectID="_1819801057" r:id="rId91"/>
        </w:objec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де 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99" w:dyaOrig="380">
          <v:shape id="_x0000_i1069" type="#_x0000_t75" style="width:28.5pt;height:21.75pt" o:ole="">
            <v:imagedata r:id="rId92" o:title=""/>
          </v:shape>
          <o:OLEObject Type="Embed" ProgID="Equation.3" ShapeID="_x0000_i1069" DrawAspect="Content" ObjectID="_1819801058" r:id="rId9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споживання активної енергії на внутрішньобудинкові потреби протягом розрахункового періоду, кВт·год;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499" w:dyaOrig="400">
          <v:shape id="_x0000_i1070" type="#_x0000_t75" style="width:28.5pt;height:21.75pt" o:ole="">
            <v:imagedata r:id="rId94" o:title=""/>
          </v:shape>
          <o:OLEObject Type="Embed" ProgID="Equation.3" ShapeID="_x0000_i1070" DrawAspect="Content" ObjectID="_1819801059" r:id="rId9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споживання активної енергії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т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-м споживачем 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k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-го стояка  протягом розрахункового періоду, кВт·год;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99" w:dyaOrig="380">
          <v:shape id="_x0000_i1071" type="#_x0000_t75" style="width:28.5pt;height:21.75pt" o:ole="">
            <v:imagedata r:id="rId96" o:title=""/>
          </v:shape>
          <o:OLEObject Type="Embed" ProgID="Equation.3" ShapeID="_x0000_i1071" DrawAspect="Content" ObjectID="_1819801060" r:id="rId9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споживання реактивної енергії на внутрішньобудинкові потреби протягом розрахункового періоду, кВАр·год;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object w:dxaOrig="300" w:dyaOrig="360">
          <v:shape id="_x0000_i1072" type="#_x0000_t75" style="width:21.75pt;height:21.75pt" o:ole="">
            <v:imagedata r:id="rId98" o:title=""/>
          </v:shape>
          <o:OLEObject Type="Embed" ProgID="Equation.3" ShapeID="_x0000_i1072" DrawAspect="Content" ObjectID="_1819801061" r:id="rId9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– коефіцієнт форми графіка навантаження; 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279" w:dyaOrig="360">
          <v:shape id="_x0000_i1073" type="#_x0000_t75" style="width:14.25pt;height:21.75pt" o:ole="">
            <v:imagedata r:id="rId100" o:title=""/>
          </v:shape>
          <o:OLEObject Type="Embed" ProgID="Equation.3" ShapeID="_x0000_i1073" DrawAspect="Content" ObjectID="_1819801062" r:id="rId101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питомий активний опір кабелю (проводу) зовнішньої мережі, Ом/км;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200" w:dyaOrig="360">
          <v:shape id="_x0000_i1074" type="#_x0000_t75" style="width:14.25pt;height:21.75pt" o:ole="">
            <v:imagedata r:id="rId102" o:title=""/>
          </v:shape>
          <o:OLEObject Type="Embed" ProgID="Equation.3" ShapeID="_x0000_i1074" DrawAspect="Content" ObjectID="_1819801063" r:id="rId10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довжина кабелю (проводу) зовнішньої мережі, км; 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4"/>
          <w:sz w:val="18"/>
          <w:szCs w:val="18"/>
          <w:lang w:val="uk-UA" w:eastAsia="uk-UA"/>
        </w:rPr>
        <w:object w:dxaOrig="220" w:dyaOrig="240">
          <v:shape id="_x0000_i1075" type="#_x0000_t75" style="width:14.25pt;height:14.25pt" o:ole="">
            <v:imagedata r:id="rId104" o:title=""/>
          </v:shape>
          <o:OLEObject Type="Embed" ProgID="Equation.3" ShapeID="_x0000_i1075" DrawAspect="Content" ObjectID="_1819801064" r:id="rId10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тривалість розрахункового періоду, годин;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object w:dxaOrig="260" w:dyaOrig="220">
          <v:shape id="_x0000_i1076" type="#_x0000_t75" style="width:14.25pt;height:14.25pt" o:ole="">
            <v:imagedata r:id="rId106" o:title=""/>
          </v:shape>
          <o:OLEObject Type="Embed" ProgID="Equation.3" ShapeID="_x0000_i1076" DrawAspect="Content" ObjectID="_1819801065" r:id="rId10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кількість квартир (офісів), приєднаних до стояка;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ind w:right="-53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6"/>
          <w:sz w:val="18"/>
          <w:szCs w:val="18"/>
          <w:lang w:val="uk-UA" w:eastAsia="uk-UA"/>
        </w:rPr>
        <w:object w:dxaOrig="200" w:dyaOrig="279">
          <v:shape id="_x0000_i1077" type="#_x0000_t75" style="width:7.5pt;height:14.25pt" o:ole="">
            <v:imagedata r:id="rId108" o:title=""/>
          </v:shape>
          <o:OLEObject Type="Embed" ProgID="Equation.3" ShapeID="_x0000_i1077" DrawAspect="Content" ObjectID="_1819801066" r:id="rId10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– кількість стояків.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6"/>
          <w:sz w:val="18"/>
          <w:szCs w:val="18"/>
          <w:lang w:val="uk-UA" w:eastAsia="uk-UA"/>
        </w:rPr>
        <w:object w:dxaOrig="680" w:dyaOrig="580">
          <v:shape id="_x0000_i1078" type="#_x0000_t75" style="width:28.5pt;height:28.5pt" o:ole="">
            <v:imagedata r:id="rId110" o:title=""/>
          </v:shape>
          <o:OLEObject Type="Embed" ProgID="Equation.DSMT4" ShapeID="_x0000_i1078" DrawAspect="Content" ObjectID="_1819801067" r:id="rId111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споживання активної енергії протягом розрахункового періоду за показами лічильника на вводі у будинок, кВт·год;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560" w:dyaOrig="380">
          <v:shape id="_x0000_i1079" type="#_x0000_t75" style="width:28.5pt;height:21.75pt" o:ole="">
            <v:imagedata r:id="rId112" o:title=""/>
          </v:shape>
          <o:OLEObject Type="Embed" ProgID="Equation.3" ShapeID="_x0000_i1079" DrawAspect="Content" ObjectID="_1819801068" r:id="rId11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споживання реактивної енергії на внутрішньобудинкові потреби протягом розрахункового періоду, кВАр·год;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cos φ = 0,9 – середній коефіцієнт потужності у зовнішній мережі.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400" w:dyaOrig="360">
          <v:shape id="_x0000_i1080" type="#_x0000_t75" style="width:21.75pt;height:21.75pt" o:ole="">
            <v:imagedata r:id="rId114" o:title=""/>
          </v:shape>
          <o:OLEObject Type="Embed" ProgID="Equation.3" ShapeID="_x0000_i1080" DrawAspect="Content" ObjectID="_1819801069" r:id="rId11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- питомий активний опір кабелю (проводу)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k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-го стояка, Ом/км;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40" w:dyaOrig="360">
          <v:shape id="_x0000_i1081" type="#_x0000_t75" style="width:21.75pt;height:21.75pt" o:ole="">
            <v:imagedata r:id="rId116" o:title=""/>
          </v:shape>
          <o:OLEObject Type="Embed" ProgID="Equation.3" ShapeID="_x0000_i1081" DrawAspect="Content" ObjectID="_1819801070" r:id="rId11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– довжина кабелю (проводу) нерозгалуженої частини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k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-го стояка, км; </w:t>
      </w:r>
    </w:p>
    <w:p w:rsidR="00D14A15" w:rsidRPr="003438A2" w:rsidRDefault="00D14A15" w:rsidP="0036701F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360" w:dyaOrig="380">
          <v:shape id="_x0000_i1082" type="#_x0000_t75" style="width:21.75pt;height:21.75pt" o:ole="">
            <v:imagedata r:id="rId118" o:title=""/>
          </v:shape>
          <o:OLEObject Type="Embed" ProgID="Equation.3" ShapeID="_x0000_i1082" DrawAspect="Content" ObjectID="_1819801071" r:id="rId11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довжина кабелю (проводу) розгалуженої частини </w:t>
      </w:r>
      <w:r w:rsidRPr="003438A2"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  <w:t>k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-го стояка, км;</w:t>
      </w:r>
    </w:p>
    <w:p w:rsidR="00D14A15" w:rsidRPr="003438A2" w:rsidRDefault="00D14A15" w:rsidP="0036701F">
      <w:pPr>
        <w:tabs>
          <w:tab w:val="left" w:pos="0"/>
          <w:tab w:val="left" w:pos="709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20" w:dyaOrig="360">
          <v:shape id="_x0000_i1083" type="#_x0000_t75" style="width:21.75pt;height:21.75pt" o:ole="">
            <v:imagedata r:id="rId120" o:title=""/>
          </v:shape>
          <o:OLEObject Type="Embed" ProgID="Equation.3" ShapeID="_x0000_i1083" DrawAspect="Content" ObjectID="_1819801072" r:id="rId121"/>
        </w:object>
      </w:r>
      <w:r w:rsidRPr="003438A2">
        <w:rPr>
          <w:rFonts w:ascii="Times New Roman" w:eastAsia="Times New Roman" w:hAnsi="Times New Roman" w:cs="Times New Roman"/>
          <w:position w:val="-10"/>
          <w:sz w:val="18"/>
          <w:szCs w:val="18"/>
          <w:lang w:val="uk-UA" w:eastAsia="uk-UA"/>
        </w:rPr>
        <w:t xml:space="preserve"> 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˗ коефіцієнт збільшення втрат в лінії 0,38 кВ стояка з несиметричним навантаженням фаз, який  приймається для ліній з 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00" w:dyaOrig="360">
          <v:shape id="_x0000_i1084" type="#_x0000_t75" style="width:14.25pt;height:21.75pt" o:ole="">
            <v:imagedata r:id="rId122" o:title=""/>
          </v:shape>
          <o:OLEObject Type="Embed" ProgID="Equation.3" ShapeID="_x0000_i1084" DrawAspect="Content" ObjectID="_1819801073" r:id="rId123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/</w:t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300" w:dyaOrig="380">
          <v:shape id="_x0000_i1085" type="#_x0000_t75" style="width:14.25pt;height:21.75pt" o:ole="">
            <v:imagedata r:id="rId124" o:title=""/>
          </v:shape>
          <o:OLEObject Type="Embed" ProgID="Equation.3" ShapeID="_x0000_i1085" DrawAspect="Content" ObjectID="_1819801074" r:id="rId125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=1 рівним 1,13, для ліній  з 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00" w:dyaOrig="360">
          <v:shape id="_x0000_i1086" type="#_x0000_t75" style="width:14.25pt;height:21.75pt" o:ole="">
            <v:imagedata r:id="rId122" o:title=""/>
          </v:shape>
          <o:OLEObject Type="Embed" ProgID="Equation.3" ShapeID="_x0000_i1086" DrawAspect="Content" ObjectID="_1819801075" r:id="rId126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/</w:t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300" w:dyaOrig="380">
          <v:shape id="_x0000_i1087" type="#_x0000_t75" style="width:14.25pt;height:21.75pt" o:ole="">
            <v:imagedata r:id="rId124" o:title=""/>
          </v:shape>
          <o:OLEObject Type="Embed" ProgID="Equation.3" ShapeID="_x0000_i1087" DrawAspect="Content" ObjectID="_1819801076" r:id="rId127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=2  рівним 1,20  </w:t>
      </w:r>
    </w:p>
    <w:p w:rsidR="00D14A15" w:rsidRPr="003438A2" w:rsidRDefault="00D14A15" w:rsidP="0036701F">
      <w:pPr>
        <w:tabs>
          <w:tab w:val="left" w:pos="0"/>
          <w:tab w:val="left" w:pos="709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(</w:t>
      </w:r>
      <w:r w:rsidRPr="003438A2">
        <w:rPr>
          <w:rFonts w:ascii="Times New Roman" w:eastAsia="Times New Roman" w:hAnsi="Times New Roman" w:cs="Times New Roman"/>
          <w:position w:val="-12"/>
          <w:sz w:val="18"/>
          <w:szCs w:val="18"/>
          <w:lang w:val="uk-UA" w:eastAsia="uk-UA"/>
        </w:rPr>
        <w:object w:dxaOrig="300" w:dyaOrig="360">
          <v:shape id="_x0000_i1088" type="#_x0000_t75" style="width:14.25pt;height:21.75pt" o:ole="">
            <v:imagedata r:id="rId122" o:title=""/>
          </v:shape>
          <o:OLEObject Type="Embed" ProgID="Equation.3" ShapeID="_x0000_i1088" DrawAspect="Content" ObjectID="_1819801077" r:id="rId128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і </w:t>
      </w:r>
      <w:r w:rsidRPr="003438A2">
        <w:rPr>
          <w:rFonts w:ascii="Times New Roman" w:eastAsia="Times New Roman" w:hAnsi="Times New Roman" w:cs="Times New Roman"/>
          <w:position w:val="-14"/>
          <w:sz w:val="18"/>
          <w:szCs w:val="18"/>
          <w:lang w:val="uk-UA" w:eastAsia="uk-UA"/>
        </w:rPr>
        <w:object w:dxaOrig="300" w:dyaOrig="380">
          <v:shape id="_x0000_i1089" type="#_x0000_t75" style="width:14.25pt;height:21.75pt" o:ole="">
            <v:imagedata r:id="rId124" o:title=""/>
          </v:shape>
          <o:OLEObject Type="Embed" ProgID="Equation.3" ShapeID="_x0000_i1089" DrawAspect="Content" ObjectID="_1819801078" r:id="rId129"/>
        </w:objec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– опори нульового і  фазного проводів відповідно, Ом).</w:t>
      </w:r>
    </w:p>
    <w:p w:rsidR="00D14A15" w:rsidRPr="003438A2" w:rsidRDefault="00D14A15" w:rsidP="0036701F">
      <w:pPr>
        <w:tabs>
          <w:tab w:val="left" w:pos="426"/>
        </w:tabs>
        <w:spacing w:after="0" w:line="216" w:lineRule="auto"/>
        <w:ind w:left="567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2.3.2.4.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Вихідні дані для розрахунку втрат у внутрішньобудинковій мережі наведені в Таблиці 3. </w:t>
      </w:r>
      <w:r w:rsidRPr="003438A2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A15" w:rsidRPr="003438A2" w:rsidRDefault="00D14A15" w:rsidP="00D14A15">
      <w:pPr>
        <w:tabs>
          <w:tab w:val="left" w:pos="0"/>
        </w:tabs>
        <w:spacing w:after="0" w:line="216" w:lineRule="auto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p w:rsidR="00D14A15" w:rsidRPr="003438A2" w:rsidRDefault="00D14A15" w:rsidP="00D14A15">
      <w:pPr>
        <w:tabs>
          <w:tab w:val="left" w:pos="0"/>
        </w:tabs>
        <w:spacing w:after="0" w:line="216" w:lineRule="auto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Таблиця 3</w:t>
      </w:r>
    </w:p>
    <w:tbl>
      <w:tblPr>
        <w:tblW w:w="49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997"/>
        <w:gridCol w:w="985"/>
        <w:gridCol w:w="844"/>
        <w:gridCol w:w="1123"/>
        <w:gridCol w:w="706"/>
        <w:gridCol w:w="985"/>
        <w:gridCol w:w="985"/>
        <w:gridCol w:w="1125"/>
        <w:gridCol w:w="1548"/>
      </w:tblGrid>
      <w:tr w:rsidR="00D14A15" w:rsidRPr="003438A2" w:rsidTr="00384CF6">
        <w:trPr>
          <w:jc w:val="center"/>
        </w:trPr>
        <w:tc>
          <w:tcPr>
            <w:tcW w:w="169" w:type="pct"/>
            <w:vMerge w:val="restar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№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 w:right="-249" w:firstLine="108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9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Адреса будинку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Вихідні дані будинку</w:t>
            </w:r>
          </w:p>
        </w:tc>
        <w:tc>
          <w:tcPr>
            <w:tcW w:w="2309" w:type="pct"/>
            <w:gridSpan w:val="5"/>
            <w:vAlign w:val="center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Паспортні дані мережі</w:t>
            </w:r>
          </w:p>
        </w:tc>
        <w:tc>
          <w:tcPr>
            <w:tcW w:w="726" w:type="pct"/>
            <w:vMerge w:val="restart"/>
            <w:vAlign w:val="center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Коефіцієнти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ind w:left="-10" w:right="-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форми графіка навантаження</w:t>
            </w: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uk-UA"/>
              </w:rPr>
              <w:t>*</w:t>
            </w:r>
          </w:p>
        </w:tc>
      </w:tr>
      <w:tr w:rsidR="00D14A15" w:rsidRPr="003438A2" w:rsidTr="00384CF6">
        <w:trPr>
          <w:jc w:val="center"/>
        </w:trPr>
        <w:tc>
          <w:tcPr>
            <w:tcW w:w="169" w:type="pct"/>
            <w:vMerge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Число квартир од.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Число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стояків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од.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</w:tcBorders>
          </w:tcPr>
          <w:p w:rsidR="00D14A15" w:rsidRPr="003438A2" w:rsidRDefault="00961CA3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Розгалужена</w:t>
            </w:r>
          </w:p>
        </w:tc>
        <w:tc>
          <w:tcPr>
            <w:tcW w:w="924" w:type="pct"/>
            <w:gridSpan w:val="2"/>
          </w:tcPr>
          <w:p w:rsidR="00D14A15" w:rsidRPr="003438A2" w:rsidRDefault="00961CA3" w:rsidP="00D14A15">
            <w:pPr>
              <w:tabs>
                <w:tab w:val="left" w:pos="0"/>
              </w:tabs>
              <w:spacing w:after="0" w:line="240" w:lineRule="auto"/>
              <w:ind w:left="-107" w:firstLin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Нерозгалужена</w:t>
            </w:r>
          </w:p>
        </w:tc>
        <w:tc>
          <w:tcPr>
            <w:tcW w:w="528" w:type="pct"/>
            <w:vMerge w:val="restar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Коефі</w:t>
            </w: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softHyphen/>
              <w:t>цієнт несиметрії</w:t>
            </w: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uk-UA"/>
              </w:rPr>
              <w:t>*</w:t>
            </w:r>
          </w:p>
        </w:tc>
        <w:tc>
          <w:tcPr>
            <w:tcW w:w="726" w:type="pct"/>
            <w:vMerge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rPr>
          <w:jc w:val="center"/>
        </w:trPr>
        <w:tc>
          <w:tcPr>
            <w:tcW w:w="169" w:type="pct"/>
            <w:vMerge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7" w:type="pct"/>
            <w:tcBorders>
              <w:top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Питомий опір, Ом/км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Дов-жина,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км</w:t>
            </w: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Питомий опір, Ом/км</w:t>
            </w: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Довжина стояка,</w:t>
            </w:r>
          </w:p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км</w:t>
            </w:r>
          </w:p>
        </w:tc>
        <w:tc>
          <w:tcPr>
            <w:tcW w:w="528" w:type="pct"/>
            <w:vMerge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pct"/>
            <w:vMerge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rPr>
          <w:trHeight w:val="241"/>
          <w:jc w:val="center"/>
        </w:trPr>
        <w:tc>
          <w:tcPr>
            <w:tcW w:w="169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28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726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</w:tr>
      <w:tr w:rsidR="00D14A15" w:rsidRPr="003438A2" w:rsidTr="00384CF6">
        <w:trPr>
          <w:jc w:val="center"/>
        </w:trPr>
        <w:tc>
          <w:tcPr>
            <w:tcW w:w="169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8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rPr>
          <w:jc w:val="center"/>
        </w:trPr>
        <w:tc>
          <w:tcPr>
            <w:tcW w:w="169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8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rPr>
          <w:jc w:val="center"/>
        </w:trPr>
        <w:tc>
          <w:tcPr>
            <w:tcW w:w="169" w:type="pct"/>
            <w:tcBorders>
              <w:right w:val="single" w:sz="4" w:space="0" w:color="auto"/>
            </w:tcBorders>
          </w:tcPr>
          <w:p w:rsidR="00D14A15" w:rsidRPr="003438A2" w:rsidRDefault="00912AAD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…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62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8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6" w:type="pct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</w:tbl>
    <w:p w:rsidR="00D14A15" w:rsidRPr="003438A2" w:rsidRDefault="00D14A15" w:rsidP="00D14A1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sz w:val="18"/>
          <w:szCs w:val="18"/>
          <w:vertAlign w:val="superscript"/>
          <w:lang w:val="uk-UA" w:eastAsia="uk-UA"/>
        </w:rPr>
        <w:t>*</w:t>
      </w:r>
      <w:r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Колонка заповнюється для рівня інформаційного забезпечення А.</w:t>
      </w:r>
    </w:p>
    <w:p w:rsidR="00D14A15" w:rsidRPr="003438A2" w:rsidRDefault="000D6EF7" w:rsidP="003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2.3.2</w:t>
      </w:r>
      <w:r w:rsidR="000D6310" w:rsidRPr="003438A2"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>.5</w:t>
      </w:r>
      <w:r w:rsidR="00D14A15" w:rsidRPr="003438A2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. Для здійснення розрахунку втрат у внутрішньобудинкових мережах Споживач має повідомити Оператора системи розподілу щодо вихідних даних електромереж будинку.</w:t>
      </w:r>
    </w:p>
    <w:p w:rsidR="00D14A15" w:rsidRPr="003438A2" w:rsidRDefault="00D14A15" w:rsidP="00D14A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236"/>
        <w:gridCol w:w="4444"/>
      </w:tblGrid>
      <w:tr w:rsidR="00D14A15" w:rsidRPr="003438A2" w:rsidTr="00384CF6">
        <w:tc>
          <w:tcPr>
            <w:tcW w:w="4680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Оператор системи</w:t>
            </w:r>
          </w:p>
        </w:tc>
        <w:tc>
          <w:tcPr>
            <w:tcW w:w="236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Споживач</w:t>
            </w:r>
          </w:p>
        </w:tc>
      </w:tr>
      <w:tr w:rsidR="00D14A15" w:rsidRPr="003438A2" w:rsidTr="00384CF6">
        <w:tc>
          <w:tcPr>
            <w:tcW w:w="4680" w:type="dxa"/>
            <w:tcBorders>
              <w:bottom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36" w:type="dxa"/>
          </w:tcPr>
          <w:p w:rsidR="00D14A15" w:rsidRPr="003438A2" w:rsidRDefault="00D14A15" w:rsidP="00D14A15">
            <w:pPr>
              <w:tabs>
                <w:tab w:val="left" w:pos="0"/>
                <w:tab w:val="left" w:pos="34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  <w:tab w:val="left" w:pos="2592"/>
                <w:tab w:val="left" w:pos="3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36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D14A15" w:rsidRPr="003438A2" w:rsidTr="00384CF6">
        <w:tc>
          <w:tcPr>
            <w:tcW w:w="4680" w:type="dxa"/>
            <w:tcBorders>
              <w:top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  <w:tc>
          <w:tcPr>
            <w:tcW w:w="236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uk-UA"/>
              </w:rPr>
              <w:t>(посада, П.І.П., підпис)</w:t>
            </w:r>
          </w:p>
        </w:tc>
      </w:tr>
      <w:tr w:rsidR="00D14A15" w:rsidRPr="003438A2" w:rsidTr="00384CF6">
        <w:tc>
          <w:tcPr>
            <w:tcW w:w="4680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М.П.</w:t>
            </w:r>
          </w:p>
        </w:tc>
        <w:tc>
          <w:tcPr>
            <w:tcW w:w="236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М.П.</w:t>
            </w:r>
          </w:p>
        </w:tc>
      </w:tr>
      <w:tr w:rsidR="00D14A15" w:rsidRPr="00D14A15" w:rsidTr="00384CF6">
        <w:trPr>
          <w:trHeight w:val="689"/>
        </w:trPr>
        <w:tc>
          <w:tcPr>
            <w:tcW w:w="4680" w:type="dxa"/>
            <w:vAlign w:val="bottom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"____"____________ 20____р.</w:t>
            </w:r>
          </w:p>
        </w:tc>
        <w:tc>
          <w:tcPr>
            <w:tcW w:w="236" w:type="dxa"/>
            <w:vAlign w:val="bottom"/>
          </w:tcPr>
          <w:p w:rsidR="00D14A15" w:rsidRPr="003438A2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444" w:type="dxa"/>
            <w:vAlign w:val="bottom"/>
          </w:tcPr>
          <w:p w:rsidR="00D14A15" w:rsidRPr="00D14A15" w:rsidRDefault="00D14A15" w:rsidP="00D14A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"____"_____________ 20</w:t>
            </w: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___</w:t>
            </w:r>
            <w:r w:rsidRPr="003438A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р.</w:t>
            </w:r>
          </w:p>
        </w:tc>
      </w:tr>
    </w:tbl>
    <w:p w:rsidR="00072C64" w:rsidRPr="00912AAD" w:rsidRDefault="00072C64" w:rsidP="00D14A15">
      <w:pPr>
        <w:tabs>
          <w:tab w:val="left" w:pos="0"/>
        </w:tabs>
        <w:rPr>
          <w:sz w:val="18"/>
          <w:szCs w:val="18"/>
        </w:rPr>
      </w:pPr>
    </w:p>
    <w:sectPr w:rsidR="00072C64" w:rsidRPr="00912AAD" w:rsidSect="00D42E1A">
      <w:pgSz w:w="11906" w:h="16838"/>
      <w:pgMar w:top="284" w:right="566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9D" w:rsidRDefault="00FA269D" w:rsidP="00AD4F91">
      <w:pPr>
        <w:spacing w:after="0" w:line="240" w:lineRule="auto"/>
      </w:pPr>
      <w:r>
        <w:separator/>
      </w:r>
    </w:p>
  </w:endnote>
  <w:endnote w:type="continuationSeparator" w:id="0">
    <w:p w:rsidR="00FA269D" w:rsidRDefault="00FA269D" w:rsidP="00AD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9D" w:rsidRDefault="00FA269D" w:rsidP="00AD4F91">
      <w:pPr>
        <w:spacing w:after="0" w:line="240" w:lineRule="auto"/>
      </w:pPr>
      <w:r>
        <w:separator/>
      </w:r>
    </w:p>
  </w:footnote>
  <w:footnote w:type="continuationSeparator" w:id="0">
    <w:p w:rsidR="00FA269D" w:rsidRDefault="00FA269D" w:rsidP="00AD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41FA6"/>
    <w:multiLevelType w:val="hybridMultilevel"/>
    <w:tmpl w:val="B666E2AC"/>
    <w:lvl w:ilvl="0" w:tplc="8A404732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15"/>
    <w:rsid w:val="000527C0"/>
    <w:rsid w:val="00072C64"/>
    <w:rsid w:val="00077643"/>
    <w:rsid w:val="000D6310"/>
    <w:rsid w:val="000D6EF7"/>
    <w:rsid w:val="000E209C"/>
    <w:rsid w:val="001100F2"/>
    <w:rsid w:val="00195292"/>
    <w:rsid w:val="00246588"/>
    <w:rsid w:val="002D15D7"/>
    <w:rsid w:val="002D36D3"/>
    <w:rsid w:val="003438A2"/>
    <w:rsid w:val="0036701F"/>
    <w:rsid w:val="00384CF6"/>
    <w:rsid w:val="00395776"/>
    <w:rsid w:val="00395C35"/>
    <w:rsid w:val="00552F0A"/>
    <w:rsid w:val="005F13A3"/>
    <w:rsid w:val="0063066F"/>
    <w:rsid w:val="006E3271"/>
    <w:rsid w:val="0075090C"/>
    <w:rsid w:val="007712E4"/>
    <w:rsid w:val="0080352D"/>
    <w:rsid w:val="00885E29"/>
    <w:rsid w:val="00912AAD"/>
    <w:rsid w:val="00961CA3"/>
    <w:rsid w:val="009A0DA4"/>
    <w:rsid w:val="00A9009D"/>
    <w:rsid w:val="00AD4F91"/>
    <w:rsid w:val="00B10621"/>
    <w:rsid w:val="00B1284A"/>
    <w:rsid w:val="00B22CB6"/>
    <w:rsid w:val="00B24E72"/>
    <w:rsid w:val="00B353C7"/>
    <w:rsid w:val="00C359CE"/>
    <w:rsid w:val="00C560DC"/>
    <w:rsid w:val="00D11138"/>
    <w:rsid w:val="00D14A15"/>
    <w:rsid w:val="00D22276"/>
    <w:rsid w:val="00D42E1A"/>
    <w:rsid w:val="00D63AB5"/>
    <w:rsid w:val="00E553CE"/>
    <w:rsid w:val="00EA4C66"/>
    <w:rsid w:val="00EB384D"/>
    <w:rsid w:val="00F41C91"/>
    <w:rsid w:val="00FA269D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2099C-23FB-489F-8E66-7FA70877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D4F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AD4F9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AD4F91"/>
    <w:rPr>
      <w:rFonts w:ascii="Times New Roman" w:hAnsi="Times New Roman" w:cs="Times New Roman" w:hint="default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D4F91"/>
  </w:style>
  <w:style w:type="paragraph" w:styleId="a8">
    <w:name w:val="footer"/>
    <w:basedOn w:val="a"/>
    <w:link w:val="a9"/>
    <w:uiPriority w:val="99"/>
    <w:unhideWhenUsed/>
    <w:rsid w:val="00AD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D4F91"/>
  </w:style>
  <w:style w:type="paragraph" w:styleId="aa">
    <w:name w:val="Balloon Text"/>
    <w:basedOn w:val="a"/>
    <w:link w:val="ab"/>
    <w:uiPriority w:val="99"/>
    <w:semiHidden/>
    <w:unhideWhenUsed/>
    <w:rsid w:val="0005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4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9531</Words>
  <Characters>5434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Semeshchuk</dc:creator>
  <cp:keywords/>
  <dc:description/>
  <cp:lastModifiedBy>Artur Kutukov</cp:lastModifiedBy>
  <cp:revision>1</cp:revision>
  <cp:lastPrinted>2025-09-11T12:21:00Z</cp:lastPrinted>
  <dcterms:created xsi:type="dcterms:W3CDTF">2025-09-19T12:27:00Z</dcterms:created>
  <dcterms:modified xsi:type="dcterms:W3CDTF">2025-09-19T12:27:00Z</dcterms:modified>
</cp:coreProperties>
</file>