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E46" w:rsidRPr="00202501" w:rsidRDefault="00B64D44" w:rsidP="00406007">
      <w:pPr>
        <w:tabs>
          <w:tab w:val="left" w:pos="8364"/>
        </w:tabs>
        <w:spacing w:after="0" w:line="207" w:lineRule="exact"/>
        <w:ind w:left="5670" w:right="3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2025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Додаток  № 15</w:t>
      </w:r>
      <w:r w:rsidR="00397E46" w:rsidRPr="002025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до Договору споживача про надання </w:t>
      </w:r>
    </w:p>
    <w:p w:rsidR="00397E46" w:rsidRPr="00202501" w:rsidRDefault="00397E46" w:rsidP="00397E46">
      <w:pPr>
        <w:tabs>
          <w:tab w:val="left" w:pos="8364"/>
        </w:tabs>
        <w:spacing w:before="80" w:after="0" w:line="207" w:lineRule="exact"/>
        <w:ind w:left="5670" w:right="384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2025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послуг з розподілу (передачі) електричної енергії  </w:t>
      </w:r>
    </w:p>
    <w:p w:rsidR="00397E46" w:rsidRPr="00202501" w:rsidRDefault="00397E46" w:rsidP="00397E46">
      <w:pPr>
        <w:tabs>
          <w:tab w:val="left" w:pos="8364"/>
        </w:tabs>
        <w:spacing w:before="80" w:after="0" w:line="207" w:lineRule="exact"/>
        <w:ind w:left="6237" w:right="384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uk-UA" w:eastAsia="uk-UA"/>
        </w:rPr>
      </w:pPr>
      <w:r w:rsidRPr="00202501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       від </w:t>
      </w:r>
      <w:r w:rsidRPr="0020250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«</w:t>
      </w:r>
      <w:r w:rsidRPr="0020250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uk-UA" w:eastAsia="uk-UA"/>
        </w:rPr>
        <w:t xml:space="preserve">       </w:t>
      </w:r>
      <w:r w:rsidRPr="0020250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 xml:space="preserve">» </w:t>
      </w:r>
      <w:r w:rsidRPr="0020250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uk-UA" w:eastAsia="uk-UA"/>
        </w:rPr>
        <w:t xml:space="preserve">                  </w:t>
      </w:r>
      <w:r w:rsidRPr="0020250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20</w:t>
      </w:r>
      <w:r w:rsidRPr="00202501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uk-UA" w:eastAsia="uk-UA"/>
        </w:rPr>
        <w:t>___</w:t>
      </w:r>
      <w:r w:rsidRPr="00202501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uk-UA"/>
        </w:rPr>
        <w:t>р</w:t>
      </w:r>
      <w:r w:rsidRPr="0020250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 w:eastAsia="uk-UA"/>
        </w:rPr>
        <w:t>.№</w:t>
      </w:r>
      <w:r w:rsidRPr="00202501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uk-UA" w:eastAsia="uk-UA"/>
        </w:rPr>
        <w:t xml:space="preserve">_ _________ </w:t>
      </w:r>
    </w:p>
    <w:p w:rsidR="00B64D44" w:rsidRPr="00202501" w:rsidRDefault="00B64D44" w:rsidP="00397E46">
      <w:pPr>
        <w:tabs>
          <w:tab w:val="left" w:pos="8364"/>
        </w:tabs>
        <w:spacing w:before="80" w:after="0" w:line="207" w:lineRule="exact"/>
        <w:ind w:left="6237" w:right="384"/>
        <w:rPr>
          <w:rFonts w:ascii="Times New Roman" w:eastAsia="Times New Roman" w:hAnsi="Times New Roman" w:cs="Times New Roman"/>
          <w:color w:val="000000" w:themeColor="text1"/>
          <w:u w:val="single"/>
          <w:lang w:val="uk-UA" w:eastAsia="uk-UA"/>
        </w:rPr>
      </w:pP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b/>
          <w:color w:val="000000"/>
          <w:lang w:val="uk-UA"/>
        </w:rPr>
        <w:t>Угода про електронний документообіг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1. Угода про електронний документообіг (далі – Угода) є невід’ємним Додатком до Договору про </w:t>
      </w:r>
      <w:r w:rsidR="00CB7F37">
        <w:rPr>
          <w:rFonts w:ascii="Times New Roman" w:eastAsia="Times New Roman" w:hAnsi="Times New Roman" w:cs="Times New Roman"/>
          <w:color w:val="000000"/>
          <w:lang w:val="uk-UA"/>
        </w:rPr>
        <w:t>надання послуг з розподілу</w:t>
      </w:r>
      <w:r w:rsidR="00102D36">
        <w:rPr>
          <w:rFonts w:ascii="Times New Roman" w:eastAsia="Times New Roman" w:hAnsi="Times New Roman" w:cs="Times New Roman"/>
          <w:color w:val="000000"/>
          <w:lang w:val="uk-UA"/>
        </w:rPr>
        <w:t xml:space="preserve"> (передачі)</w:t>
      </w:r>
      <w:r w:rsidR="00CB7F37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електричної енергії (далі – Договір), якою врегульовуються відносини Сторін, пов’язані з обміном інформацією та документами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з використанням електронних комунікаційних систем.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2. Цією Угодою врегульовуються питання щодо електронного документообігу між Сторонами,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зокрема визначається порядок створення, відправлення, передавання, одержання, зберігання,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оброблення, використання документів, в тому числі під час укладання, зміни, виконання та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розірвання Договору з урахуванням Закону України «Про електронні документи та електронний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документообіг».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3. Для цілей цієї Угоди використовуються терміни в наступному розумінні: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3.1. </w:t>
      </w:r>
      <w:r w:rsidRPr="00202501">
        <w:rPr>
          <w:rFonts w:ascii="Times New Roman" w:eastAsia="Times New Roman" w:hAnsi="Times New Roman" w:cs="Times New Roman"/>
          <w:i/>
          <w:color w:val="000000"/>
          <w:lang w:val="uk-UA"/>
        </w:rPr>
        <w:t>Інформаційно-комунікаційні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– сервіс електронного документообігу «M.E.Doc»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(для обміну податковими документами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крім індивідуальних побутових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споживачів);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3.2. Засоби електронної комунікації – сервіси 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Оператора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: </w:t>
      </w:r>
      <w:r w:rsidR="0074594E" w:rsidRPr="00202501">
        <w:rPr>
          <w:rFonts w:ascii="Times New Roman" w:eastAsia="Times New Roman" w:hAnsi="Times New Roman" w:cs="Times New Roman"/>
          <w:color w:val="000000"/>
          <w:lang w:val="uk-UA"/>
        </w:rPr>
        <w:t>«Особистий кабінет» (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«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>К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абінет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побутового споживача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»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>, «Кабінет юридичного споживача»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>«Кабінет ППКО»</w:t>
      </w:r>
      <w:r w:rsidR="0074594E" w:rsidRPr="00202501">
        <w:rPr>
          <w:rFonts w:ascii="Times New Roman" w:eastAsia="Times New Roman" w:hAnsi="Times New Roman" w:cs="Times New Roman"/>
          <w:color w:val="000000"/>
          <w:lang w:val="uk-UA"/>
        </w:rPr>
        <w:t>)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, мобільний застосунок, </w:t>
      </w:r>
      <w:proofErr w:type="spellStart"/>
      <w:r w:rsidRPr="00202501">
        <w:rPr>
          <w:rFonts w:ascii="Times New Roman" w:eastAsia="Times New Roman" w:hAnsi="Times New Roman" w:cs="Times New Roman"/>
          <w:color w:val="000000"/>
          <w:lang w:val="uk-UA"/>
        </w:rPr>
        <w:t>Viber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>-бот</w:t>
      </w:r>
      <w:r w:rsidR="00CC3F1C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«Рівнеобленерго»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, </w:t>
      </w:r>
      <w:proofErr w:type="spellStart"/>
      <w:r w:rsidRPr="00202501">
        <w:rPr>
          <w:rFonts w:ascii="Times New Roman" w:eastAsia="Times New Roman" w:hAnsi="Times New Roman" w:cs="Times New Roman"/>
          <w:color w:val="000000"/>
          <w:lang w:val="uk-UA"/>
        </w:rPr>
        <w:t>Telegram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>-бот</w:t>
      </w:r>
      <w:r w:rsidR="00CC3F1C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«Рівнеобленерго-бот»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,</w:t>
      </w:r>
      <w:r w:rsidR="0046553E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поштова скринька </w:t>
      </w:r>
      <w:hyperlink r:id="rId5" w:history="1">
        <w:r w:rsidR="00CC3F1C" w:rsidRPr="00202501">
          <w:rPr>
            <w:rStyle w:val="a3"/>
            <w:rFonts w:ascii="Times New Roman" w:eastAsia="Times New Roman" w:hAnsi="Times New Roman" w:cs="Times New Roman"/>
            <w:lang w:val="uk-UA"/>
          </w:rPr>
          <w:t>Contact@roe.vsei.ua</w:t>
        </w:r>
      </w:hyperlink>
      <w:r w:rsidR="00CC3F1C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тощо;</w:t>
      </w:r>
    </w:p>
    <w:p w:rsidR="00DF5AA1" w:rsidRPr="00202501" w:rsidRDefault="00B64D44" w:rsidP="00DF5AA1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3.3. </w:t>
      </w:r>
      <w:r w:rsidR="00DF5AA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Електронні Сервіси – інформаційно-комунікаційні системи та засоби електронної комунікації, перелічені в пунктах 3.1. та 3.2. цієї Угоди, крім того інші онлайн форми та онлайн системи, які впроваджені чи будуть впроваджуватись Оператором системи та будуть розміщені на </w:t>
      </w:r>
      <w:r w:rsidR="00DF5AA1">
        <w:rPr>
          <w:rFonts w:ascii="Times New Roman" w:eastAsia="Times New Roman" w:hAnsi="Times New Roman" w:cs="Times New Roman"/>
          <w:color w:val="000000"/>
          <w:lang w:val="uk-UA"/>
        </w:rPr>
        <w:t xml:space="preserve">офіційному </w:t>
      </w:r>
      <w:r w:rsidR="00DF5AA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веб-сайті Оператора системи з метою </w:t>
      </w:r>
      <w:r w:rsidR="00DF5AA1">
        <w:rPr>
          <w:rFonts w:ascii="Times New Roman" w:eastAsia="Times New Roman" w:hAnsi="Times New Roman" w:cs="Times New Roman"/>
          <w:color w:val="000000"/>
          <w:lang w:val="uk-UA"/>
        </w:rPr>
        <w:t>дистанційного</w:t>
      </w:r>
      <w:r w:rsidR="00DF5AA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обслуговування Споживача.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3.4. Сайт 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Оператора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– сторінка(и) в мережі інтернет, на якій розміщена інформація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щодо діяльності 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Оператора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та яка містить в адресі доменне ім’я: 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>roe.vsei.ua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4. Споживач самостійно обирає Електронний Сервіс, за допомогою якого може здійснюватися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обмін документами, інформацією та/або укладення договорів. Використовуючи будь-який із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Електронних Сервісів, Споживач має враховувати, що кожен із них має свою специфіку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(функціональне призначення та обмеження), яке описується в окремій інструкції чи Угоді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споживача. Починаючи використання такого Електронного Сервісу, Споживач вважається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таким, що погодився з відповідними умовами.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5. При використанні Електронних Сервісів з метою ідентифікації особи можуть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використовуватись кваліфікований електронний підпис, </w:t>
      </w:r>
      <w:proofErr w:type="spellStart"/>
      <w:r w:rsidRPr="00202501">
        <w:rPr>
          <w:rFonts w:ascii="Times New Roman" w:eastAsia="Times New Roman" w:hAnsi="Times New Roman" w:cs="Times New Roman"/>
          <w:color w:val="000000"/>
          <w:lang w:val="uk-UA"/>
        </w:rPr>
        <w:t>BankID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, ДІЯ, </w:t>
      </w:r>
      <w:proofErr w:type="spellStart"/>
      <w:r w:rsidRPr="00202501">
        <w:rPr>
          <w:rFonts w:ascii="Times New Roman" w:eastAsia="Times New Roman" w:hAnsi="Times New Roman" w:cs="Times New Roman"/>
          <w:color w:val="000000"/>
          <w:lang w:val="uk-UA"/>
        </w:rPr>
        <w:t>MobileID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чи інші засоби і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методи ідентифікації, які впроваджуються і реалізуються 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Оператором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6. 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гарантує, що ним вживаються належні і достатні заходи для запобігання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несанкціонованого отримання персональних даних сторонніми особами.</w:t>
      </w:r>
    </w:p>
    <w:p w:rsidR="00B64D44" w:rsidRPr="00202501" w:rsidRDefault="00B64D44" w:rsidP="00E17CB8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7. Реєстрація Споживача в 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«Особистому кабінеті»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здійснюється на сайті 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Оператора системи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у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спеціальному розділі 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>«Особистий кабінет»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>/ «Кабінет побутового споживача», «Кабінет юридичного споживача», «Кабінет ППКО»</w:t>
      </w:r>
      <w:r w:rsidR="003805C3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за </w:t>
      </w:r>
      <w:r w:rsidR="00E17CB8" w:rsidRPr="00202501">
        <w:rPr>
          <w:rFonts w:ascii="Times New Roman" w:eastAsia="Times New Roman" w:hAnsi="Times New Roman" w:cs="Times New Roman"/>
          <w:color w:val="000000"/>
          <w:lang w:val="uk-UA"/>
        </w:rPr>
        <w:t>ЕІС-кодом об’єкта споживача.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8. Документи підписані за допомогою інформаційно-комунікаційних систем або акцептовані з</w:t>
      </w:r>
      <w:r w:rsidR="00E17CB8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використанням електронної ідентифікації особи, прирівнюються до оригіналу підписаного</w:t>
      </w:r>
      <w:r w:rsidR="00E17CB8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особою власноручним підписом. Будь-які документи, направлені/погоджені в «Особистому</w:t>
      </w:r>
      <w:r w:rsidR="00E17CB8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кабінеті», визнаються Сторонами такими, що сформовані і підписані (навіть за відсутності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підпису) належними представниками Сторони і не потребують додаткової ідентифікації особи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чи перевірки її повноважень.</w:t>
      </w:r>
    </w:p>
    <w:p w:rsidR="00B64D44" w:rsidRPr="00014EC0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014EC0">
        <w:rPr>
          <w:rFonts w:ascii="Times New Roman" w:eastAsia="Times New Roman" w:hAnsi="Times New Roman" w:cs="Times New Roman"/>
          <w:color w:val="000000"/>
          <w:lang w:val="uk-UA"/>
        </w:rPr>
        <w:t xml:space="preserve">9. На обґрунтовану </w:t>
      </w:r>
      <w:r w:rsidR="00014EC0" w:rsidRPr="00014EC0">
        <w:rPr>
          <w:rFonts w:ascii="Times New Roman" w:eastAsia="Times New Roman" w:hAnsi="Times New Roman" w:cs="Times New Roman"/>
          <w:color w:val="000000"/>
          <w:lang w:val="uk-UA"/>
        </w:rPr>
        <w:t xml:space="preserve">письмову </w:t>
      </w:r>
      <w:r w:rsidRPr="00014EC0">
        <w:rPr>
          <w:rFonts w:ascii="Times New Roman" w:eastAsia="Times New Roman" w:hAnsi="Times New Roman" w:cs="Times New Roman"/>
          <w:color w:val="000000"/>
          <w:lang w:val="uk-UA"/>
        </w:rPr>
        <w:t>вимогу однієї із Сторін</w:t>
      </w:r>
      <w:r w:rsidR="00AC46E4">
        <w:rPr>
          <w:rFonts w:ascii="Times New Roman" w:eastAsia="Times New Roman" w:hAnsi="Times New Roman" w:cs="Times New Roman"/>
          <w:color w:val="000000"/>
        </w:rPr>
        <w:t>,</w:t>
      </w:r>
      <w:r w:rsidRPr="00014EC0">
        <w:rPr>
          <w:rFonts w:ascii="Times New Roman" w:eastAsia="Times New Roman" w:hAnsi="Times New Roman" w:cs="Times New Roman"/>
          <w:color w:val="000000"/>
          <w:lang w:val="uk-UA"/>
        </w:rPr>
        <w:t xml:space="preserve"> Сторони зобов’язані оформити документи в</w:t>
      </w:r>
      <w:r w:rsidR="006A0E41" w:rsidRPr="00014EC0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014EC0">
        <w:rPr>
          <w:rFonts w:ascii="Times New Roman" w:eastAsia="Times New Roman" w:hAnsi="Times New Roman" w:cs="Times New Roman"/>
          <w:color w:val="000000"/>
          <w:lang w:val="uk-UA"/>
        </w:rPr>
        <w:t>паперовому вигляді з підписом(</w:t>
      </w:r>
      <w:proofErr w:type="spellStart"/>
      <w:r w:rsidRPr="00014EC0">
        <w:rPr>
          <w:rFonts w:ascii="Times New Roman" w:eastAsia="Times New Roman" w:hAnsi="Times New Roman" w:cs="Times New Roman"/>
          <w:color w:val="000000"/>
          <w:lang w:val="uk-UA"/>
        </w:rPr>
        <w:t>ами</w:t>
      </w:r>
      <w:proofErr w:type="spellEnd"/>
      <w:r w:rsidRPr="00014EC0">
        <w:rPr>
          <w:rFonts w:ascii="Times New Roman" w:eastAsia="Times New Roman" w:hAnsi="Times New Roman" w:cs="Times New Roman"/>
          <w:color w:val="000000"/>
          <w:lang w:val="uk-UA"/>
        </w:rPr>
        <w:t>).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014EC0">
        <w:rPr>
          <w:rFonts w:ascii="Times New Roman" w:eastAsia="Times New Roman" w:hAnsi="Times New Roman" w:cs="Times New Roman"/>
          <w:color w:val="000000"/>
          <w:lang w:val="uk-UA"/>
        </w:rPr>
        <w:t>10. Інформація про Споживача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, зокрема його персональні дані (дані повірених осіб), дані про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розрахунки, а також інша інформація (в тому числі цифрові чи статистичні дані), яка стосується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Споживача (повіреної особи), як конкретної фізичної особи, є конфіденційною.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11. </w:t>
      </w:r>
      <w:proofErr w:type="spellStart"/>
      <w:r w:rsidR="0084567F">
        <w:rPr>
          <w:rFonts w:ascii="Times New Roman" w:eastAsia="Times New Roman" w:hAnsi="Times New Roman" w:cs="Times New Roman"/>
          <w:color w:val="000000"/>
          <w:lang w:val="uk-UA"/>
        </w:rPr>
        <w:t>Взаємодіючи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на умовах цього Договору, Споживач погоджується та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надає свою згоду на: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- отримання інформаційних розсилок та </w:t>
      </w:r>
      <w:proofErr w:type="spellStart"/>
      <w:r w:rsidRPr="00202501">
        <w:rPr>
          <w:rFonts w:ascii="Times New Roman" w:eastAsia="Times New Roman" w:hAnsi="Times New Roman" w:cs="Times New Roman"/>
          <w:color w:val="000000"/>
          <w:lang w:val="uk-UA"/>
        </w:rPr>
        <w:t>push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-повідомлень від 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Оператора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, які можуть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стосуватись інформації щодо виконання умов Договору або розвитку нових Сервісів чи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пропозицій 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Оператора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;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- отримання посилань на нові онлайн сервіси, тестові версії чи програмні застосунки, які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впроваджуються 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Оператором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для клієнтів;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- збір, обробку та зберігання 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Оператором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персональних даних Споживача та іншої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конфіденційної інформації, на передачу таких даних третім особам, які мають право на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отримання цих даних, та отримання їх від третіх осіб, у порядку та спосіб, що не суперечать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діючому законодавству.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12. Споживанням електричної енергії на умовах цього Договору підтверджується також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беззаперечна згода Споживача на збір та актуалізацію інформації щодо нього в облікових базах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="001738AE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Оператора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, яка може бути отримана </w:t>
      </w:r>
      <w:r w:rsidR="001738AE" w:rsidRPr="00202501">
        <w:rPr>
          <w:rFonts w:ascii="Times New Roman" w:eastAsia="Times New Roman" w:hAnsi="Times New Roman" w:cs="Times New Roman"/>
          <w:color w:val="000000"/>
          <w:lang w:val="uk-UA"/>
        </w:rPr>
        <w:t>Оператора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: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- в державних реєстрах, зокрема але не виключно, в Державному реєстрі речових прав на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нерухоме майно, Державному демографічному реєстрі, Єдиному державному реєстрі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юридичних осіб, фізичних осіб-підприємців та громадських формувань тощо;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- в публічних застосунках, базах чи інших відкритих джерелах;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- в державних органах, органах місцевого самоврядування, інших підприємствах,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установах організаціях незалежно від їх форми власності;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- з соціальних мереж, </w:t>
      </w:r>
      <w:proofErr w:type="spellStart"/>
      <w:r w:rsidRPr="00202501">
        <w:rPr>
          <w:rFonts w:ascii="Times New Roman" w:eastAsia="Times New Roman" w:hAnsi="Times New Roman" w:cs="Times New Roman"/>
          <w:color w:val="000000"/>
          <w:lang w:val="uk-UA"/>
        </w:rPr>
        <w:t>месенджерів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>, інших програмних продуктів;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- при здійсненні ідентифікації споживача за допомогою електронних систем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ідентифікації (</w:t>
      </w:r>
      <w:proofErr w:type="spellStart"/>
      <w:r w:rsidRPr="00202501">
        <w:rPr>
          <w:rFonts w:ascii="Times New Roman" w:eastAsia="Times New Roman" w:hAnsi="Times New Roman" w:cs="Times New Roman"/>
          <w:color w:val="000000"/>
          <w:lang w:val="uk-UA"/>
        </w:rPr>
        <w:t>BankID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, ДІЯ, </w:t>
      </w:r>
      <w:proofErr w:type="spellStart"/>
      <w:r w:rsidRPr="00202501">
        <w:rPr>
          <w:rFonts w:ascii="Times New Roman" w:eastAsia="Times New Roman" w:hAnsi="Times New Roman" w:cs="Times New Roman"/>
          <w:color w:val="000000"/>
          <w:lang w:val="uk-UA"/>
        </w:rPr>
        <w:t>MobileID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тощо).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13. Сторони зобов’язуються не розголошувати у будь-який спосіб конфіденційну інформацію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про інших осіб, яка стала відомою або може стати йому відомою під час користування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Електронними Сервісами, в будь-якому разі, не залежно від того чи це сталося випадково (в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результаті технічного збою, помилки тощо) чи в результаті дій інших осіб (</w:t>
      </w:r>
      <w:proofErr w:type="spellStart"/>
      <w:r w:rsidRPr="00202501">
        <w:rPr>
          <w:rFonts w:ascii="Times New Roman" w:eastAsia="Times New Roman" w:hAnsi="Times New Roman" w:cs="Times New Roman"/>
          <w:color w:val="000000"/>
          <w:lang w:val="uk-UA"/>
        </w:rPr>
        <w:t>хакерські</w:t>
      </w:r>
      <w:proofErr w:type="spellEnd"/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атаки, вплив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вірусного програмного забезпечення, передача власником паролів доступу тощо), будь-якій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іншій фізичній або юридичній особі, дотримуватись встановлених діючим законодавством інших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обмежень щодо її використання, не допускати неправомірного використання конфіденційної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інформації для власної користі та/або на користь інших фізичних та/або юридичних осіб.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14. Сторони мають право використовувати конфіденційну інформацію для власних цілей та у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спосіб, які не суперечать діючому законодавству та інтересам особи, якої така інформація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стосується. Не вважається використання інформації таким, що суперечить інтересам особи, в разі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її використання Стороною для захисту власних інтересів, що порушені іншою Стороною.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15. Сторони зобов’язуються вживати належних та достатніх заходів для обачного поводження з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конфіденційною інформацію з метою уникнення її неправомірного використання та завдання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шкоди іншій особі.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16. Використання Електронних Сервісів, крім вказаних в пункті 3.1. цієї Угоди, впроваджуваних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Оператором системи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, здійснюється на безоплатній основі.</w:t>
      </w:r>
    </w:p>
    <w:p w:rsidR="00B64D44" w:rsidRPr="00202501" w:rsidRDefault="00B64D44" w:rsidP="00B64D44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202501">
        <w:rPr>
          <w:rFonts w:ascii="Times New Roman" w:eastAsia="Times New Roman" w:hAnsi="Times New Roman" w:cs="Times New Roman"/>
          <w:color w:val="000000"/>
          <w:lang w:val="uk-UA"/>
        </w:rPr>
        <w:t>17. У разі зміни електронної адреси Споживач письмово або за допомогою Електронних Сервісів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інформує про це </w:t>
      </w:r>
      <w:r w:rsidR="006A0E41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Оператора системи </w:t>
      </w:r>
      <w:r w:rsidRPr="00202501">
        <w:rPr>
          <w:rFonts w:ascii="Times New Roman" w:eastAsia="Times New Roman" w:hAnsi="Times New Roman" w:cs="Times New Roman"/>
          <w:color w:val="000000"/>
          <w:lang w:val="uk-UA"/>
        </w:rPr>
        <w:t>протягом 10 діб після настання відповідних змін.</w:t>
      </w:r>
    </w:p>
    <w:p w:rsidR="001738AE" w:rsidRPr="008E7683" w:rsidRDefault="001738AE" w:rsidP="001738AE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8E7683">
        <w:rPr>
          <w:rFonts w:ascii="Times New Roman" w:eastAsia="Times New Roman" w:hAnsi="Times New Roman" w:cs="Times New Roman"/>
          <w:color w:val="000000"/>
          <w:lang w:val="uk-UA"/>
        </w:rPr>
        <w:t>18. Датою і часом відправлення електронного документа вважаються дата і час</w:t>
      </w:r>
      <w:r w:rsidR="008E7683" w:rsidRPr="008E7683">
        <w:rPr>
          <w:rFonts w:ascii="Times New Roman" w:eastAsia="Times New Roman" w:hAnsi="Times New Roman" w:cs="Times New Roman"/>
          <w:color w:val="000000"/>
          <w:lang w:val="uk-UA"/>
        </w:rPr>
        <w:t>, коли відправлення електронного документа не може бути скасовано особою, яка його відправила</w:t>
      </w:r>
      <w:r w:rsidR="008E7683">
        <w:rPr>
          <w:rFonts w:ascii="Times New Roman" w:eastAsia="Times New Roman" w:hAnsi="Times New Roman" w:cs="Times New Roman"/>
          <w:color w:val="000000"/>
          <w:lang w:val="uk-UA"/>
        </w:rPr>
        <w:t xml:space="preserve"> (окрім випадків визначених додатком № 4 та додатком №12 Договору)</w:t>
      </w:r>
      <w:r w:rsidR="008E7683" w:rsidRPr="008E7683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3428A8" w:rsidRPr="00202501" w:rsidRDefault="001738AE" w:rsidP="003428A8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 w:rsidRPr="008E7683">
        <w:rPr>
          <w:rFonts w:ascii="Times New Roman" w:eastAsia="Times New Roman" w:hAnsi="Times New Roman" w:cs="Times New Roman"/>
          <w:color w:val="000000"/>
          <w:lang w:val="uk-UA"/>
        </w:rPr>
        <w:t xml:space="preserve">19. </w:t>
      </w:r>
      <w:r w:rsidR="003428A8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Документ вважається одержаним адресатом </w:t>
      </w:r>
      <w:r w:rsidR="0080303F">
        <w:rPr>
          <w:rFonts w:ascii="Times New Roman" w:eastAsia="Times New Roman" w:hAnsi="Times New Roman" w:cs="Times New Roman"/>
          <w:color w:val="000000"/>
          <w:lang w:val="uk-UA"/>
        </w:rPr>
        <w:t>на</w:t>
      </w:r>
      <w:r w:rsidR="003428A8" w:rsidRPr="00202501">
        <w:rPr>
          <w:rFonts w:ascii="Times New Roman" w:eastAsia="Times New Roman" w:hAnsi="Times New Roman" w:cs="Times New Roman"/>
          <w:color w:val="000000"/>
          <w:lang w:val="uk-UA"/>
        </w:rPr>
        <w:t xml:space="preserve"> третій робочий день від дати відправлення</w:t>
      </w:r>
      <w:r w:rsidR="003428A8">
        <w:rPr>
          <w:rFonts w:ascii="Times New Roman" w:eastAsia="Times New Roman" w:hAnsi="Times New Roman" w:cs="Times New Roman"/>
          <w:color w:val="000000"/>
          <w:lang w:val="uk-UA"/>
        </w:rPr>
        <w:t xml:space="preserve"> Товариством</w:t>
      </w:r>
      <w:r w:rsidR="0080303F">
        <w:rPr>
          <w:rFonts w:ascii="Times New Roman" w:eastAsia="Times New Roman" w:hAnsi="Times New Roman" w:cs="Times New Roman"/>
          <w:color w:val="000000"/>
          <w:lang w:val="uk-UA"/>
        </w:rPr>
        <w:t xml:space="preserve"> (окрім випадків визначених додатком № 4 та додатком №12 Договору)</w:t>
      </w:r>
      <w:r w:rsidR="003428A8" w:rsidRPr="00202501">
        <w:rPr>
          <w:rFonts w:ascii="Times New Roman" w:eastAsia="Times New Roman" w:hAnsi="Times New Roman" w:cs="Times New Roman"/>
          <w:color w:val="000000"/>
          <w:lang w:val="uk-UA"/>
        </w:rPr>
        <w:t>.</w:t>
      </w:r>
    </w:p>
    <w:p w:rsidR="001738AE" w:rsidRPr="00202501" w:rsidRDefault="001738AE" w:rsidP="001738AE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p w:rsidR="00397E46" w:rsidRPr="00202501" w:rsidRDefault="00397E46" w:rsidP="00397E46">
      <w:pPr>
        <w:autoSpaceDE w:val="0"/>
        <w:autoSpaceDN w:val="0"/>
        <w:adjustRightInd w:val="0"/>
        <w:spacing w:after="0" w:line="240" w:lineRule="auto"/>
        <w:ind w:right="384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0"/>
        <w:gridCol w:w="1098"/>
        <w:gridCol w:w="4444"/>
      </w:tblGrid>
      <w:tr w:rsidR="00397E46" w:rsidRPr="00202501" w:rsidTr="001949BB">
        <w:tc>
          <w:tcPr>
            <w:tcW w:w="4680" w:type="dxa"/>
          </w:tcPr>
          <w:p w:rsidR="001949BB" w:rsidRPr="00202501" w:rsidRDefault="001949BB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  <w:p w:rsidR="00397E46" w:rsidRPr="00202501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202501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Оператор системи</w:t>
            </w:r>
          </w:p>
        </w:tc>
        <w:tc>
          <w:tcPr>
            <w:tcW w:w="1098" w:type="dxa"/>
          </w:tcPr>
          <w:p w:rsidR="00397E46" w:rsidRPr="00202501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4444" w:type="dxa"/>
          </w:tcPr>
          <w:p w:rsidR="00397E46" w:rsidRPr="00202501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202501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Споживач</w:t>
            </w:r>
          </w:p>
        </w:tc>
      </w:tr>
      <w:tr w:rsidR="00397E46" w:rsidRPr="00202501" w:rsidTr="001949BB"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</w:tcPr>
          <w:p w:rsidR="00397E46" w:rsidRPr="00202501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1098" w:type="dxa"/>
          </w:tcPr>
          <w:p w:rsidR="00397E46" w:rsidRPr="00202501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44" w:type="dxa"/>
            <w:tcBorders>
              <w:top w:val="single" w:sz="4" w:space="0" w:color="auto"/>
              <w:bottom w:val="single" w:sz="4" w:space="0" w:color="auto"/>
            </w:tcBorders>
          </w:tcPr>
          <w:p w:rsidR="00397E46" w:rsidRPr="00202501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</w:tr>
      <w:tr w:rsidR="00397E46" w:rsidRPr="00202501" w:rsidTr="001949BB">
        <w:tc>
          <w:tcPr>
            <w:tcW w:w="4680" w:type="dxa"/>
            <w:tcBorders>
              <w:top w:val="single" w:sz="4" w:space="0" w:color="auto"/>
            </w:tcBorders>
          </w:tcPr>
          <w:p w:rsidR="00397E46" w:rsidRPr="00202501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02501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(посада, П.І.П., підпис)</w:t>
            </w:r>
          </w:p>
        </w:tc>
        <w:tc>
          <w:tcPr>
            <w:tcW w:w="1098" w:type="dxa"/>
          </w:tcPr>
          <w:p w:rsidR="00397E46" w:rsidRPr="00202501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44" w:type="dxa"/>
            <w:tcBorders>
              <w:top w:val="single" w:sz="4" w:space="0" w:color="auto"/>
            </w:tcBorders>
          </w:tcPr>
          <w:p w:rsidR="00397E46" w:rsidRPr="00202501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02501">
              <w:rPr>
                <w:rFonts w:ascii="Times New Roman" w:eastAsia="Times New Roman" w:hAnsi="Times New Roman" w:cs="Times New Roman"/>
                <w:vertAlign w:val="superscript"/>
                <w:lang w:val="uk-UA" w:eastAsia="uk-UA"/>
              </w:rPr>
              <w:t>(посада, П.І.П., підпис)</w:t>
            </w:r>
          </w:p>
        </w:tc>
      </w:tr>
      <w:tr w:rsidR="00397E46" w:rsidRPr="00202501" w:rsidTr="001949BB">
        <w:tc>
          <w:tcPr>
            <w:tcW w:w="4680" w:type="dxa"/>
          </w:tcPr>
          <w:p w:rsidR="00397E46" w:rsidRPr="00202501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02501">
              <w:rPr>
                <w:rFonts w:ascii="Times New Roman" w:eastAsia="Times New Roman" w:hAnsi="Times New Roman" w:cs="Times New Roman"/>
                <w:lang w:val="uk-UA" w:eastAsia="uk-UA"/>
              </w:rPr>
              <w:t>М.П.</w:t>
            </w:r>
          </w:p>
        </w:tc>
        <w:tc>
          <w:tcPr>
            <w:tcW w:w="1098" w:type="dxa"/>
          </w:tcPr>
          <w:p w:rsidR="00397E46" w:rsidRPr="00202501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44" w:type="dxa"/>
          </w:tcPr>
          <w:p w:rsidR="00397E46" w:rsidRPr="00202501" w:rsidRDefault="00397E46" w:rsidP="00397E46">
            <w:pPr>
              <w:spacing w:after="0" w:line="240" w:lineRule="auto"/>
              <w:ind w:right="384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02501">
              <w:rPr>
                <w:rFonts w:ascii="Times New Roman" w:eastAsia="Times New Roman" w:hAnsi="Times New Roman" w:cs="Times New Roman"/>
                <w:lang w:val="uk-UA" w:eastAsia="uk-UA"/>
              </w:rPr>
              <w:t>М.П.</w:t>
            </w:r>
          </w:p>
        </w:tc>
      </w:tr>
      <w:tr w:rsidR="00397E46" w:rsidRPr="00202501" w:rsidTr="001949BB">
        <w:tc>
          <w:tcPr>
            <w:tcW w:w="4680" w:type="dxa"/>
            <w:vAlign w:val="bottom"/>
          </w:tcPr>
          <w:p w:rsidR="00397E46" w:rsidRPr="00202501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02501">
              <w:rPr>
                <w:rFonts w:ascii="Times New Roman" w:eastAsia="Times New Roman" w:hAnsi="Times New Roman" w:cs="Times New Roman"/>
                <w:lang w:val="uk-UA" w:eastAsia="uk-UA"/>
              </w:rPr>
              <w:t>"____"___________ 20___р.</w:t>
            </w:r>
          </w:p>
        </w:tc>
        <w:tc>
          <w:tcPr>
            <w:tcW w:w="1098" w:type="dxa"/>
            <w:vAlign w:val="bottom"/>
          </w:tcPr>
          <w:p w:rsidR="00397E46" w:rsidRPr="00202501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444" w:type="dxa"/>
            <w:vAlign w:val="bottom"/>
          </w:tcPr>
          <w:p w:rsidR="00397E46" w:rsidRPr="00202501" w:rsidRDefault="00397E46" w:rsidP="00397E46">
            <w:pPr>
              <w:spacing w:after="0" w:line="240" w:lineRule="auto"/>
              <w:ind w:right="384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02501">
              <w:rPr>
                <w:rFonts w:ascii="Times New Roman" w:eastAsia="Times New Roman" w:hAnsi="Times New Roman" w:cs="Times New Roman"/>
                <w:lang w:val="uk-UA" w:eastAsia="uk-UA"/>
              </w:rPr>
              <w:t>"____"_____________ 20__р.</w:t>
            </w:r>
          </w:p>
        </w:tc>
      </w:tr>
    </w:tbl>
    <w:p w:rsidR="00397E46" w:rsidRPr="00202501" w:rsidRDefault="00397E46" w:rsidP="001949BB">
      <w:pPr>
        <w:tabs>
          <w:tab w:val="left" w:pos="1107"/>
        </w:tabs>
        <w:spacing w:after="0" w:line="240" w:lineRule="auto"/>
        <w:ind w:right="384"/>
        <w:rPr>
          <w:rFonts w:ascii="Times New Roman" w:eastAsia="Times New Roman" w:hAnsi="Times New Roman" w:cs="Times New Roman"/>
          <w:lang w:val="uk-UA" w:eastAsia="uk-UA"/>
        </w:rPr>
      </w:pPr>
    </w:p>
    <w:sectPr w:rsidR="00397E46" w:rsidRPr="00202501" w:rsidSect="00AC46E4">
      <w:pgSz w:w="11906" w:h="16838"/>
      <w:pgMar w:top="709" w:right="282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C6019"/>
    <w:multiLevelType w:val="hybridMultilevel"/>
    <w:tmpl w:val="35266EC4"/>
    <w:lvl w:ilvl="0" w:tplc="E640C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46"/>
    <w:rsid w:val="00014EC0"/>
    <w:rsid w:val="00072C64"/>
    <w:rsid w:val="00102D36"/>
    <w:rsid w:val="0012223D"/>
    <w:rsid w:val="00171411"/>
    <w:rsid w:val="001738AE"/>
    <w:rsid w:val="00191BEB"/>
    <w:rsid w:val="001949BB"/>
    <w:rsid w:val="00200D5B"/>
    <w:rsid w:val="00202501"/>
    <w:rsid w:val="003428A8"/>
    <w:rsid w:val="003805C3"/>
    <w:rsid w:val="00397E46"/>
    <w:rsid w:val="00406007"/>
    <w:rsid w:val="00455339"/>
    <w:rsid w:val="0046553E"/>
    <w:rsid w:val="004746A0"/>
    <w:rsid w:val="005E2132"/>
    <w:rsid w:val="00623737"/>
    <w:rsid w:val="0067791D"/>
    <w:rsid w:val="006A0E41"/>
    <w:rsid w:val="006B552C"/>
    <w:rsid w:val="006D0035"/>
    <w:rsid w:val="0074594E"/>
    <w:rsid w:val="0080303F"/>
    <w:rsid w:val="0084567F"/>
    <w:rsid w:val="00854C52"/>
    <w:rsid w:val="00861E98"/>
    <w:rsid w:val="008E7683"/>
    <w:rsid w:val="00AC46E4"/>
    <w:rsid w:val="00AE6D74"/>
    <w:rsid w:val="00B64D44"/>
    <w:rsid w:val="00B65936"/>
    <w:rsid w:val="00C90E30"/>
    <w:rsid w:val="00CB7F37"/>
    <w:rsid w:val="00CC3F1C"/>
    <w:rsid w:val="00D27C14"/>
    <w:rsid w:val="00D500CC"/>
    <w:rsid w:val="00DF5AA1"/>
    <w:rsid w:val="00E17CB8"/>
    <w:rsid w:val="00E8654E"/>
    <w:rsid w:val="00F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6663A-2632-4F3C-815D-7946E811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F1C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45533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55339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45533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55339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455339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45533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45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55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roe.vse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4892</Words>
  <Characters>2789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Semeshchuk</dc:creator>
  <cp:lastModifiedBy>Artur Kutukov</cp:lastModifiedBy>
  <cp:revision>1</cp:revision>
  <cp:lastPrinted>2024-09-23T11:59:00Z</cp:lastPrinted>
  <dcterms:created xsi:type="dcterms:W3CDTF">2025-09-19T12:30:00Z</dcterms:created>
  <dcterms:modified xsi:type="dcterms:W3CDTF">2025-09-19T12:30:00Z</dcterms:modified>
</cp:coreProperties>
</file>