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57C" w:rsidRPr="009219A4" w:rsidRDefault="0071657C" w:rsidP="0071657C">
      <w:pPr>
        <w:tabs>
          <w:tab w:val="left" w:pos="8364"/>
        </w:tabs>
        <w:spacing w:after="0" w:line="240" w:lineRule="auto"/>
        <w:ind w:left="5670" w:right="-2"/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</w:pPr>
      <w:r w:rsidRPr="009219A4"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  <w:t>*Додаток  № 13</w:t>
      </w:r>
      <w:r w:rsidR="005209A9" w:rsidRPr="009219A4"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  <w:t>а</w:t>
      </w:r>
      <w:r w:rsidRPr="009219A4"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  <w:t xml:space="preserve"> до договору споживача про надання послуг з розподілу (передачі) електричної енергії </w:t>
      </w:r>
    </w:p>
    <w:p w:rsidR="0071657C" w:rsidRPr="009219A4" w:rsidRDefault="0071657C" w:rsidP="0071657C">
      <w:pPr>
        <w:tabs>
          <w:tab w:val="left" w:pos="8364"/>
        </w:tabs>
        <w:spacing w:after="0" w:line="240" w:lineRule="auto"/>
        <w:ind w:left="5670" w:right="-2"/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</w:pPr>
      <w:r w:rsidRPr="009219A4"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  <w:t xml:space="preserve">від </w:t>
      </w:r>
      <w:r w:rsidRPr="009219A4"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uk-UA"/>
        </w:rPr>
        <w:t>«</w:t>
      </w:r>
      <w:r w:rsidRPr="009219A4">
        <w:rPr>
          <w:rFonts w:ascii="Times New Roman" w:eastAsia="Times New Roman" w:hAnsi="Times New Roman" w:cs="Times New Roman"/>
          <w:color w:val="000000"/>
          <w:sz w:val="16"/>
          <w:szCs w:val="20"/>
          <w:u w:val="single"/>
          <w:lang w:val="uk-UA" w:eastAsia="uk-UA"/>
        </w:rPr>
        <w:t xml:space="preserve">       </w:t>
      </w:r>
      <w:r w:rsidRPr="009219A4"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uk-UA"/>
        </w:rPr>
        <w:t xml:space="preserve">» </w:t>
      </w:r>
      <w:r w:rsidRPr="009219A4">
        <w:rPr>
          <w:rFonts w:ascii="Times New Roman" w:eastAsia="Times New Roman" w:hAnsi="Times New Roman" w:cs="Times New Roman"/>
          <w:color w:val="000000"/>
          <w:sz w:val="16"/>
          <w:szCs w:val="20"/>
          <w:u w:val="single"/>
          <w:lang w:val="uk-UA" w:eastAsia="uk-UA"/>
        </w:rPr>
        <w:t xml:space="preserve">                  </w:t>
      </w:r>
      <w:r w:rsidRPr="009219A4"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uk-UA"/>
        </w:rPr>
        <w:t>20</w:t>
      </w:r>
      <w:r w:rsidRPr="009219A4"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val="uk-UA" w:eastAsia="uk-UA"/>
        </w:rPr>
        <w:t>__</w:t>
      </w:r>
      <w:r w:rsidRPr="009219A4"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uk-UA"/>
        </w:rPr>
        <w:t>р</w:t>
      </w:r>
      <w:r w:rsidRPr="009219A4"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val="uk-UA" w:eastAsia="uk-UA"/>
        </w:rPr>
        <w:t>. №</w:t>
      </w:r>
      <w:r w:rsidRPr="009219A4"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uk-UA"/>
        </w:rPr>
        <w:t>____________</w:t>
      </w:r>
      <w:r w:rsidRPr="009219A4">
        <w:rPr>
          <w:rFonts w:ascii="Times New Roman" w:eastAsia="Times New Roman" w:hAnsi="Times New Roman" w:cs="Times New Roman"/>
          <w:color w:val="000000"/>
          <w:sz w:val="16"/>
          <w:szCs w:val="20"/>
          <w:u w:val="single"/>
          <w:lang w:val="uk-UA" w:eastAsia="uk-UA"/>
        </w:rPr>
        <w:t xml:space="preserve">   </w:t>
      </w:r>
    </w:p>
    <w:p w:rsidR="0071657C" w:rsidRPr="009219A4" w:rsidRDefault="0071657C" w:rsidP="0071657C">
      <w:pPr>
        <w:spacing w:after="0" w:line="276" w:lineRule="auto"/>
        <w:ind w:left="5670" w:firstLine="567"/>
        <w:rPr>
          <w:rFonts w:ascii="Times New Roman" w:hAnsi="Times New Roman" w:cs="Times New Roman"/>
          <w:szCs w:val="24"/>
          <w:lang w:val="uk-UA"/>
        </w:rPr>
      </w:pPr>
    </w:p>
    <w:p w:rsidR="0071657C" w:rsidRPr="009219A4" w:rsidRDefault="0071657C" w:rsidP="0071657C">
      <w:pPr>
        <w:tabs>
          <w:tab w:val="left" w:pos="0"/>
          <w:tab w:val="left" w:pos="263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uk-UA" w:eastAsia="uk-UA"/>
        </w:rPr>
      </w:pPr>
      <w:r w:rsidRPr="009219A4">
        <w:rPr>
          <w:rFonts w:ascii="Times New Roman" w:eastAsia="Times New Roman" w:hAnsi="Times New Roman" w:cs="Times New Roman"/>
          <w:b/>
          <w:szCs w:val="24"/>
          <w:lang w:val="uk-UA" w:eastAsia="uk-UA"/>
        </w:rPr>
        <w:t>Порядок складання балансу електричної енергії в мережах Активного споживача</w:t>
      </w:r>
    </w:p>
    <w:p w:rsidR="00CD7460" w:rsidRPr="009219A4" w:rsidRDefault="00CD7460" w:rsidP="0071657C">
      <w:pPr>
        <w:tabs>
          <w:tab w:val="left" w:pos="0"/>
          <w:tab w:val="left" w:pos="263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uk-UA" w:eastAsia="uk-UA"/>
        </w:rPr>
      </w:pPr>
    </w:p>
    <w:p w:rsidR="0071657C" w:rsidRPr="009219A4" w:rsidRDefault="0071657C" w:rsidP="00CD7460">
      <w:pPr>
        <w:tabs>
          <w:tab w:val="left" w:pos="0"/>
          <w:tab w:val="left" w:pos="263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1. Споживання електричної енергії Активним споживачем здійснюється відповідно до режимів, визначених з урахуванням вимог Кодексу систем передачі, Ко</w:t>
      </w:r>
      <w:r w:rsidR="005209A9"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дексу систем розподілу, Кодексу комерційного обліку електричної енергії</w:t>
      </w:r>
      <w:r w:rsidR="00527645"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,</w:t>
      </w:r>
      <w:r w:rsidR="00527645" w:rsidRPr="009219A4">
        <w:rPr>
          <w:lang w:val="uk-UA"/>
        </w:rPr>
        <w:t xml:space="preserve"> </w:t>
      </w:r>
      <w:r w:rsidR="00527645"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Правил роздрібного ринку електричної енергії</w:t>
      </w:r>
      <w:r w:rsidR="005209A9"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та</w:t>
      </w:r>
      <w:r w:rsidR="00CD7460"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Порядку продажу та обліку електричної енергії, виробленої активними споживачами, та розрахунків за неї.</w:t>
      </w:r>
    </w:p>
    <w:p w:rsidR="005209A9" w:rsidRPr="009219A4" w:rsidRDefault="005209A9" w:rsidP="00CD7460">
      <w:pPr>
        <w:tabs>
          <w:tab w:val="left" w:pos="0"/>
          <w:tab w:val="left" w:pos="263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2. Активний споживач бере участь на організованих сегментах ринку самостійно або у складі агрегованих груп.</w:t>
      </w:r>
    </w:p>
    <w:p w:rsidR="005209A9" w:rsidRPr="009219A4" w:rsidRDefault="005209A9" w:rsidP="00CD7460">
      <w:pPr>
        <w:tabs>
          <w:tab w:val="left" w:pos="0"/>
          <w:tab w:val="left" w:pos="263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3. Участь Активного споживача у ринку допоміжних послуг, балансуючому ринку в частині надання послуг з балансування та купівлі-продажу електричної енергії, яка використовується для зберігання енергії в установках зберігання енергії, а також у частині продажу надлишків виробленої та/або збереженої електричної енергії, регулюється Правилами ринку.</w:t>
      </w:r>
    </w:p>
    <w:p w:rsidR="00D66E8F" w:rsidRPr="009219A4" w:rsidRDefault="00D66E8F" w:rsidP="00CD7460">
      <w:pPr>
        <w:tabs>
          <w:tab w:val="left" w:pos="0"/>
          <w:tab w:val="left" w:pos="263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4. Активний споживач має забезпечити встановлення вузлів обліку та комерційний облік обсягів відбору/відпуску електричної енергії у цілому для кожної належної йому площадки комерційного обліку відповідно до вимог Кодексу</w:t>
      </w:r>
      <w:r w:rsidR="00527645"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комерційного обліку електричної енергії</w:t>
      </w:r>
      <w:r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.</w:t>
      </w:r>
    </w:p>
    <w:p w:rsidR="00232908" w:rsidRPr="009219A4" w:rsidRDefault="00D66E8F" w:rsidP="00CD7460">
      <w:pPr>
        <w:tabs>
          <w:tab w:val="left" w:pos="0"/>
          <w:tab w:val="left" w:pos="263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5</w:t>
      </w:r>
      <w:r w:rsidR="00232908"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. Активний споживач, який встановлює генеруючу установку, призначену для виробництва електричної енергії та/або установку зберігання енергії, або приєднує, у порядку встановленому Кодексом системи розподілу, до власних електричних мереж генеруючі установки, призначені для виробництва електричної енергії з альтернативних джерел енергії, та/або установки зберігання енергії, що належать третім особам, повинен забезпечити окремий комерційний облік електричної енергії виробленої власними генеруючими установками (групами установок), а також для кожного приєднання генеруючих установок та/або установок зберігання енергії, що належать третім особам, шляхом встановлення вузлів обліку.</w:t>
      </w:r>
    </w:p>
    <w:p w:rsidR="0057529E" w:rsidRPr="009219A4" w:rsidRDefault="00D66E8F" w:rsidP="00CD7460">
      <w:pPr>
        <w:tabs>
          <w:tab w:val="left" w:pos="0"/>
          <w:tab w:val="left" w:pos="263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6</w:t>
      </w:r>
      <w:r w:rsidR="00232908"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. </w:t>
      </w:r>
      <w:r w:rsidR="0057529E"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Якщо електрична енергія, що вироблена на генеруючих електроустановках з альтернативних джерел енергії, не відпускається безпосередньо в мережу оператора системи, до обсягу електричної енергії, отриманої власником (користувачем) мереж, до яких приєднані генеруючі електроустановки з альтернативних джерел енергії, додається обсяг відпущеної в його мережі електричної енергії, виробленої такою або такими генеруючими електроустановками.</w:t>
      </w:r>
    </w:p>
    <w:p w:rsidR="00B23D5B" w:rsidRPr="009219A4" w:rsidRDefault="00D66E8F" w:rsidP="00CD7460">
      <w:pPr>
        <w:tabs>
          <w:tab w:val="left" w:pos="0"/>
          <w:tab w:val="left" w:pos="263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7</w:t>
      </w:r>
      <w:r w:rsidR="00B23D5B"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. У разі якщо Активний споживач укладає договір купівлі-продажу електричної енергії за механізмом самовиробництва, вартість послуг з розподілу та/або передачі електричної енергії, спожитої Активним споживачем, сплачується через  електропостачальника або постачальника універсальних послуг згідно з відповідною комерційною пропозицією постачальника.</w:t>
      </w:r>
    </w:p>
    <w:p w:rsidR="00B23D5B" w:rsidRPr="009219A4" w:rsidRDefault="00D66E8F" w:rsidP="00CD7460">
      <w:pPr>
        <w:tabs>
          <w:tab w:val="left" w:pos="0"/>
          <w:tab w:val="left" w:pos="263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8</w:t>
      </w:r>
      <w:r w:rsidR="00B23D5B"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. Погодинне сальдоване значення обсягів віддачі електричної енергії в мережу та прийому електричної енергії з мережі ОСР визначається за формулою:</w:t>
      </w:r>
    </w:p>
    <w:p w:rsidR="00B23D5B" w:rsidRPr="009219A4" w:rsidRDefault="00B23D5B" w:rsidP="00B23D5B">
      <w:pPr>
        <w:tabs>
          <w:tab w:val="left" w:pos="0"/>
          <w:tab w:val="left" w:pos="263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219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uk-UA"/>
        </w:rPr>
        <w:t>с,г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uk-UA"/>
        </w:rPr>
        <w:t>k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>,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uk-UA"/>
        </w:rPr>
        <w:t>j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 xml:space="preserve"> </w:t>
      </w:r>
      <w:r w:rsidRPr="009219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= </w:t>
      </w:r>
      <w:r w:rsidRPr="009219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uk-UA"/>
        </w:rPr>
        <w:t>с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uk-UA"/>
        </w:rPr>
        <w:t>k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>,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uk-UA"/>
        </w:rPr>
        <w:t>j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 xml:space="preserve"> </w:t>
      </w:r>
      <w:r w:rsidRPr="009219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</w:t>
      </w:r>
      <w:r w:rsidRPr="009219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uk-UA"/>
        </w:rPr>
        <w:t>г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uk-UA"/>
        </w:rPr>
        <w:t>k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 xml:space="preserve">,j </w:t>
      </w:r>
    </w:p>
    <w:p w:rsidR="00B23D5B" w:rsidRPr="009219A4" w:rsidRDefault="00B23D5B" w:rsidP="00B23D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1657C" w:rsidRPr="009219A4" w:rsidRDefault="00B23D5B" w:rsidP="00B23D5B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де,</w:t>
      </w:r>
      <w:r w:rsidRPr="009219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9219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uk-UA"/>
        </w:rPr>
        <w:t>г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uk-UA"/>
        </w:rPr>
        <w:t>k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>,j</w:t>
      </w:r>
      <w:r w:rsidRPr="009219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9219A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9219A4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обсяг віддачі  в мережу ОСР в </w:t>
      </w:r>
      <w:r w:rsidRPr="009219A4">
        <w:rPr>
          <w:rFonts w:ascii="Times New Roman" w:eastAsia="Times New Roman" w:hAnsi="Times New Roman" w:cs="Times New Roman"/>
          <w:sz w:val="18"/>
          <w:szCs w:val="18"/>
          <w:lang w:val="en-US" w:eastAsia="uk-UA"/>
        </w:rPr>
        <w:t>k</w:t>
      </w:r>
      <w:r w:rsidRPr="009219A4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-ту годину </w:t>
      </w:r>
      <w:r w:rsidRPr="009219A4">
        <w:rPr>
          <w:rFonts w:ascii="Times New Roman" w:eastAsia="Times New Roman" w:hAnsi="Times New Roman" w:cs="Times New Roman"/>
          <w:sz w:val="18"/>
          <w:szCs w:val="18"/>
          <w:lang w:val="en-US" w:eastAsia="uk-UA"/>
        </w:rPr>
        <w:t>j</w:t>
      </w:r>
      <w:r w:rsidRPr="009219A4">
        <w:rPr>
          <w:rFonts w:ascii="Times New Roman" w:eastAsia="Times New Roman" w:hAnsi="Times New Roman" w:cs="Times New Roman"/>
          <w:sz w:val="18"/>
          <w:szCs w:val="18"/>
          <w:lang w:eastAsia="uk-UA"/>
        </w:rPr>
        <w:t>-ї доби з мереж активного споживача;</w:t>
      </w:r>
    </w:p>
    <w:p w:rsidR="00B23D5B" w:rsidRPr="009219A4" w:rsidRDefault="00B23D5B" w:rsidP="00B23D5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9219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uk-UA"/>
        </w:rPr>
        <w:t>с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uk-UA"/>
        </w:rPr>
        <w:t>k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>,</w:t>
      </w:r>
      <w:r w:rsidRPr="009219A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uk-UA"/>
        </w:rPr>
        <w:t>j</w:t>
      </w:r>
      <w:r w:rsidRPr="009219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9219A4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обсяг прийому з мережі ОСР в k-ту годину j-ї доби в мережу активного споживача;</w:t>
      </w:r>
    </w:p>
    <w:p w:rsidR="00B23D5B" w:rsidRPr="009219A4" w:rsidRDefault="00B23D5B" w:rsidP="00B23D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9219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J - </w:t>
      </w:r>
      <w:r w:rsidRPr="009219A4">
        <w:rPr>
          <w:rFonts w:ascii="Times New Roman" w:eastAsia="Times New Roman" w:hAnsi="Times New Roman" w:cs="Times New Roman"/>
          <w:sz w:val="18"/>
          <w:szCs w:val="18"/>
          <w:lang w:eastAsia="uk-UA"/>
        </w:rPr>
        <w:t>день календарного місяця;</w:t>
      </w:r>
    </w:p>
    <w:p w:rsidR="00B23D5B" w:rsidRPr="009219A4" w:rsidRDefault="00B23D5B" w:rsidP="00B23D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9219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219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9219A4">
        <w:rPr>
          <w:rFonts w:ascii="Times New Roman" w:eastAsia="Times New Roman" w:hAnsi="Times New Roman" w:cs="Times New Roman"/>
          <w:sz w:val="18"/>
          <w:szCs w:val="18"/>
          <w:lang w:eastAsia="uk-UA"/>
        </w:rPr>
        <w:t>година доби.</w:t>
      </w:r>
    </w:p>
    <w:p w:rsidR="00B23D5B" w:rsidRPr="009219A4" w:rsidRDefault="00B23D5B" w:rsidP="00B23D5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19A4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Додатні сальдовані значення позначаються як відбір з мережі ОСР</w:t>
      </w:r>
      <w:r w:rsidRPr="009219A4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val="uk-UA"/>
        </w:rPr>
        <w:t xml:space="preserve"> </w:t>
      </w:r>
      <w:r w:rsidR="005209A9" w:rsidRPr="009219A4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val="uk-UA"/>
        </w:rPr>
        <w:t>–</w:t>
      </w:r>
      <w:r w:rsidRPr="009219A4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val="uk-UA"/>
        </w:rPr>
        <w:t xml:space="preserve"> </w:t>
      </w:r>
      <w:r w:rsidR="005209A9" w:rsidRPr="009219A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W</w:t>
      </w:r>
      <w:r w:rsidR="005209A9" w:rsidRPr="009219A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bscript"/>
          <w:lang w:val="uk-UA"/>
        </w:rPr>
        <w:t>н</w:t>
      </w:r>
      <w:r w:rsidR="005209A9" w:rsidRPr="009219A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  <w:lang w:val="en-US"/>
        </w:rPr>
        <w:t>k</w:t>
      </w:r>
      <w:r w:rsidR="005209A9" w:rsidRPr="009219A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>,</w:t>
      </w:r>
      <w:r w:rsidR="005209A9" w:rsidRPr="009219A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  <w:lang w:val="en-US"/>
        </w:rPr>
        <w:t>j</w:t>
      </w:r>
      <w:r w:rsidR="005209A9" w:rsidRPr="009219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209A9" w:rsidRPr="009219A4" w:rsidRDefault="005209A9" w:rsidP="00B23D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9219A4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Від’ємні сальдовані значення позначаються як відпуск в мережу ОСР – </w:t>
      </w:r>
      <w:r w:rsidRPr="009219A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W</w:t>
      </w:r>
      <w:r w:rsidRPr="009219A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bscript"/>
          <w:lang w:val="uk-UA"/>
        </w:rPr>
        <w:t>в</w:t>
      </w:r>
      <w:r w:rsidRPr="009219A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  <w:lang w:val="en-US"/>
        </w:rPr>
        <w:t>k</w:t>
      </w:r>
      <w:r w:rsidRPr="009219A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>,</w:t>
      </w:r>
      <w:r w:rsidRPr="009219A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  <w:lang w:val="en-US"/>
        </w:rPr>
        <w:t>j</w:t>
      </w:r>
      <w:r w:rsidRPr="009219A4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в подальшому для розрахунків приймається абсолютні значення цієї величини, але не більше ніж обсяг виробленої у кожній годині на рівні встановленої потужності відповідно до договору.</w:t>
      </w: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9219A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АЛГОРИМ РОЗРАХУНКУ </w:t>
      </w: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F1005C" w:rsidRPr="009219A4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80"/>
        <w:gridCol w:w="236"/>
        <w:gridCol w:w="4444"/>
      </w:tblGrid>
      <w:tr w:rsidR="00F1005C" w:rsidRPr="009219A4" w:rsidTr="004E28FE">
        <w:tc>
          <w:tcPr>
            <w:tcW w:w="4680" w:type="dxa"/>
          </w:tcPr>
          <w:p w:rsidR="00F1005C" w:rsidRPr="009219A4" w:rsidRDefault="00F1005C" w:rsidP="004E28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uk-UA" w:eastAsia="uk-UA"/>
              </w:rPr>
            </w:pPr>
            <w:r w:rsidRPr="009219A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uk-UA" w:eastAsia="uk-UA"/>
              </w:rPr>
              <w:t>Оператор системи</w:t>
            </w:r>
          </w:p>
        </w:tc>
        <w:tc>
          <w:tcPr>
            <w:tcW w:w="236" w:type="dxa"/>
          </w:tcPr>
          <w:p w:rsidR="00F1005C" w:rsidRPr="009219A4" w:rsidRDefault="00F1005C" w:rsidP="004E28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uk-UA" w:eastAsia="uk-UA"/>
              </w:rPr>
            </w:pPr>
          </w:p>
        </w:tc>
        <w:tc>
          <w:tcPr>
            <w:tcW w:w="4444" w:type="dxa"/>
          </w:tcPr>
          <w:p w:rsidR="00F1005C" w:rsidRPr="009219A4" w:rsidRDefault="00F1005C" w:rsidP="004E28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uk-UA" w:eastAsia="uk-UA"/>
              </w:rPr>
            </w:pPr>
            <w:r w:rsidRPr="009219A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uk-UA" w:eastAsia="uk-UA"/>
              </w:rPr>
              <w:t>Споживач</w:t>
            </w:r>
          </w:p>
        </w:tc>
      </w:tr>
      <w:tr w:rsidR="00F1005C" w:rsidRPr="009219A4" w:rsidTr="004E28FE">
        <w:tc>
          <w:tcPr>
            <w:tcW w:w="4680" w:type="dxa"/>
            <w:tcBorders>
              <w:bottom w:val="single" w:sz="4" w:space="0" w:color="auto"/>
            </w:tcBorders>
          </w:tcPr>
          <w:p w:rsidR="00F1005C" w:rsidRPr="009219A4" w:rsidRDefault="00F1005C" w:rsidP="004E28FE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val="uk-UA" w:eastAsia="uk-UA"/>
              </w:rPr>
            </w:pPr>
          </w:p>
        </w:tc>
        <w:tc>
          <w:tcPr>
            <w:tcW w:w="236" w:type="dxa"/>
          </w:tcPr>
          <w:p w:rsidR="00F1005C" w:rsidRPr="009219A4" w:rsidRDefault="00F1005C" w:rsidP="004E28FE">
            <w:pPr>
              <w:tabs>
                <w:tab w:val="left" w:pos="0"/>
                <w:tab w:val="left" w:pos="34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</w:pP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:rsidR="00F1005C" w:rsidRPr="009219A4" w:rsidRDefault="00F1005C" w:rsidP="004E28FE">
            <w:pPr>
              <w:tabs>
                <w:tab w:val="left" w:pos="0"/>
                <w:tab w:val="left" w:pos="2592"/>
                <w:tab w:val="left" w:pos="34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</w:pPr>
          </w:p>
        </w:tc>
      </w:tr>
      <w:tr w:rsidR="00F1005C" w:rsidRPr="009219A4" w:rsidTr="004E28FE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F1005C" w:rsidRPr="009219A4" w:rsidRDefault="00F1005C" w:rsidP="004E28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</w:pPr>
          </w:p>
        </w:tc>
        <w:tc>
          <w:tcPr>
            <w:tcW w:w="236" w:type="dxa"/>
          </w:tcPr>
          <w:p w:rsidR="00F1005C" w:rsidRPr="009219A4" w:rsidRDefault="00F1005C" w:rsidP="004E28F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</w:pP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F1005C" w:rsidRPr="009219A4" w:rsidRDefault="00F1005C" w:rsidP="004E28F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</w:pPr>
          </w:p>
        </w:tc>
      </w:tr>
      <w:tr w:rsidR="00F1005C" w:rsidRPr="009219A4" w:rsidTr="004E28FE">
        <w:tc>
          <w:tcPr>
            <w:tcW w:w="4680" w:type="dxa"/>
            <w:tcBorders>
              <w:top w:val="single" w:sz="4" w:space="0" w:color="auto"/>
            </w:tcBorders>
          </w:tcPr>
          <w:p w:rsidR="00F1005C" w:rsidRPr="009219A4" w:rsidRDefault="00F1005C" w:rsidP="004E28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</w:pPr>
            <w:r w:rsidRPr="009219A4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uk-UA" w:eastAsia="uk-UA"/>
              </w:rPr>
              <w:t>(посада, П.І.П., підпис)</w:t>
            </w:r>
          </w:p>
        </w:tc>
        <w:tc>
          <w:tcPr>
            <w:tcW w:w="236" w:type="dxa"/>
          </w:tcPr>
          <w:p w:rsidR="00F1005C" w:rsidRPr="009219A4" w:rsidRDefault="00F1005C" w:rsidP="004E28F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</w:pPr>
          </w:p>
        </w:tc>
        <w:tc>
          <w:tcPr>
            <w:tcW w:w="4444" w:type="dxa"/>
            <w:tcBorders>
              <w:top w:val="single" w:sz="4" w:space="0" w:color="auto"/>
            </w:tcBorders>
          </w:tcPr>
          <w:p w:rsidR="00F1005C" w:rsidRPr="009219A4" w:rsidRDefault="00F1005C" w:rsidP="004E28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</w:pPr>
            <w:r w:rsidRPr="009219A4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uk-UA" w:eastAsia="uk-UA"/>
              </w:rPr>
              <w:t>(посада, П.І.П., підпис)</w:t>
            </w:r>
          </w:p>
        </w:tc>
      </w:tr>
      <w:tr w:rsidR="00F1005C" w:rsidRPr="009219A4" w:rsidTr="004E28FE">
        <w:tc>
          <w:tcPr>
            <w:tcW w:w="4680" w:type="dxa"/>
          </w:tcPr>
          <w:p w:rsidR="00F1005C" w:rsidRPr="009219A4" w:rsidRDefault="00F1005C" w:rsidP="004E28F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</w:pPr>
            <w:r w:rsidRPr="009219A4"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  <w:t>М.П.</w:t>
            </w:r>
          </w:p>
        </w:tc>
        <w:tc>
          <w:tcPr>
            <w:tcW w:w="236" w:type="dxa"/>
          </w:tcPr>
          <w:p w:rsidR="00F1005C" w:rsidRPr="009219A4" w:rsidRDefault="00F1005C" w:rsidP="004E28F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</w:pPr>
          </w:p>
        </w:tc>
        <w:tc>
          <w:tcPr>
            <w:tcW w:w="4444" w:type="dxa"/>
          </w:tcPr>
          <w:p w:rsidR="00F1005C" w:rsidRPr="009219A4" w:rsidRDefault="00F1005C" w:rsidP="004E28F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</w:pPr>
            <w:r w:rsidRPr="009219A4"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  <w:t>М.П.</w:t>
            </w:r>
          </w:p>
        </w:tc>
      </w:tr>
      <w:tr w:rsidR="00F1005C" w:rsidRPr="003936B5" w:rsidTr="004E28FE">
        <w:trPr>
          <w:trHeight w:val="689"/>
        </w:trPr>
        <w:tc>
          <w:tcPr>
            <w:tcW w:w="4680" w:type="dxa"/>
            <w:vAlign w:val="bottom"/>
          </w:tcPr>
          <w:p w:rsidR="00F1005C" w:rsidRPr="009219A4" w:rsidRDefault="00F1005C" w:rsidP="004E28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</w:pPr>
            <w:r w:rsidRPr="009219A4"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  <w:t>"____"____________ 20____р.</w:t>
            </w:r>
          </w:p>
        </w:tc>
        <w:tc>
          <w:tcPr>
            <w:tcW w:w="236" w:type="dxa"/>
            <w:vAlign w:val="bottom"/>
          </w:tcPr>
          <w:p w:rsidR="00F1005C" w:rsidRPr="009219A4" w:rsidRDefault="00F1005C" w:rsidP="004E28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</w:pPr>
          </w:p>
        </w:tc>
        <w:tc>
          <w:tcPr>
            <w:tcW w:w="4444" w:type="dxa"/>
            <w:vAlign w:val="bottom"/>
          </w:tcPr>
          <w:p w:rsidR="00F1005C" w:rsidRPr="003936B5" w:rsidRDefault="00F1005C" w:rsidP="004E28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</w:pPr>
            <w:r w:rsidRPr="009219A4">
              <w:rPr>
                <w:rFonts w:ascii="Times New Roman" w:eastAsia="Times New Roman" w:hAnsi="Times New Roman" w:cs="Times New Roman"/>
                <w:sz w:val="16"/>
                <w:szCs w:val="18"/>
                <w:lang w:val="uk-UA" w:eastAsia="uk-UA"/>
              </w:rPr>
              <w:t>"____"_____________ 20___р.</w:t>
            </w:r>
          </w:p>
        </w:tc>
      </w:tr>
    </w:tbl>
    <w:p w:rsidR="00F1005C" w:rsidRPr="00F1005C" w:rsidRDefault="00F1005C" w:rsidP="00F100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sectPr w:rsidR="00F1005C" w:rsidRPr="00F1005C" w:rsidSect="009B2A6A">
      <w:pgSz w:w="11906" w:h="16838"/>
      <w:pgMar w:top="284" w:right="851" w:bottom="425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16F" w:rsidRDefault="00BF516F" w:rsidP="00F715CB">
      <w:pPr>
        <w:spacing w:after="0" w:line="240" w:lineRule="auto"/>
      </w:pPr>
      <w:r>
        <w:separator/>
      </w:r>
    </w:p>
  </w:endnote>
  <w:endnote w:type="continuationSeparator" w:id="0">
    <w:p w:rsidR="00BF516F" w:rsidRDefault="00BF516F" w:rsidP="00F7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16F" w:rsidRDefault="00BF516F" w:rsidP="00F715CB">
      <w:pPr>
        <w:spacing w:after="0" w:line="240" w:lineRule="auto"/>
      </w:pPr>
      <w:r>
        <w:separator/>
      </w:r>
    </w:p>
  </w:footnote>
  <w:footnote w:type="continuationSeparator" w:id="0">
    <w:p w:rsidR="00BF516F" w:rsidRDefault="00BF516F" w:rsidP="00F71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54D6E"/>
    <w:multiLevelType w:val="hybridMultilevel"/>
    <w:tmpl w:val="AA3A27B4"/>
    <w:lvl w:ilvl="0" w:tplc="792899C6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6" w:hanging="360"/>
      </w:pPr>
    </w:lvl>
    <w:lvl w:ilvl="2" w:tplc="0422001B" w:tentative="1">
      <w:start w:val="1"/>
      <w:numFmt w:val="lowerRoman"/>
      <w:lvlText w:val="%3."/>
      <w:lvlJc w:val="right"/>
      <w:pPr>
        <w:ind w:left="2316" w:hanging="180"/>
      </w:pPr>
    </w:lvl>
    <w:lvl w:ilvl="3" w:tplc="0422000F" w:tentative="1">
      <w:start w:val="1"/>
      <w:numFmt w:val="decimal"/>
      <w:lvlText w:val="%4."/>
      <w:lvlJc w:val="left"/>
      <w:pPr>
        <w:ind w:left="3036" w:hanging="360"/>
      </w:pPr>
    </w:lvl>
    <w:lvl w:ilvl="4" w:tplc="04220019" w:tentative="1">
      <w:start w:val="1"/>
      <w:numFmt w:val="lowerLetter"/>
      <w:lvlText w:val="%5."/>
      <w:lvlJc w:val="left"/>
      <w:pPr>
        <w:ind w:left="3756" w:hanging="360"/>
      </w:pPr>
    </w:lvl>
    <w:lvl w:ilvl="5" w:tplc="0422001B" w:tentative="1">
      <w:start w:val="1"/>
      <w:numFmt w:val="lowerRoman"/>
      <w:lvlText w:val="%6."/>
      <w:lvlJc w:val="right"/>
      <w:pPr>
        <w:ind w:left="4476" w:hanging="180"/>
      </w:pPr>
    </w:lvl>
    <w:lvl w:ilvl="6" w:tplc="0422000F" w:tentative="1">
      <w:start w:val="1"/>
      <w:numFmt w:val="decimal"/>
      <w:lvlText w:val="%7."/>
      <w:lvlJc w:val="left"/>
      <w:pPr>
        <w:ind w:left="5196" w:hanging="360"/>
      </w:pPr>
    </w:lvl>
    <w:lvl w:ilvl="7" w:tplc="04220019" w:tentative="1">
      <w:start w:val="1"/>
      <w:numFmt w:val="lowerLetter"/>
      <w:lvlText w:val="%8."/>
      <w:lvlJc w:val="left"/>
      <w:pPr>
        <w:ind w:left="5916" w:hanging="360"/>
      </w:pPr>
    </w:lvl>
    <w:lvl w:ilvl="8" w:tplc="0422001B" w:tentative="1">
      <w:start w:val="1"/>
      <w:numFmt w:val="lowerRoman"/>
      <w:lvlText w:val="%9."/>
      <w:lvlJc w:val="right"/>
      <w:pPr>
        <w:ind w:left="66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CB"/>
    <w:rsid w:val="00082014"/>
    <w:rsid w:val="000918CF"/>
    <w:rsid w:val="000A016E"/>
    <w:rsid w:val="000C4FBD"/>
    <w:rsid w:val="000C54E9"/>
    <w:rsid w:val="000F0A48"/>
    <w:rsid w:val="00131CB5"/>
    <w:rsid w:val="00165B17"/>
    <w:rsid w:val="001B75AB"/>
    <w:rsid w:val="001E426C"/>
    <w:rsid w:val="001F7080"/>
    <w:rsid w:val="00201494"/>
    <w:rsid w:val="00203E0C"/>
    <w:rsid w:val="00232908"/>
    <w:rsid w:val="00241558"/>
    <w:rsid w:val="0026123B"/>
    <w:rsid w:val="00273ACD"/>
    <w:rsid w:val="0027622A"/>
    <w:rsid w:val="00283D2B"/>
    <w:rsid w:val="00292C5C"/>
    <w:rsid w:val="002E25B0"/>
    <w:rsid w:val="0038408F"/>
    <w:rsid w:val="003936B5"/>
    <w:rsid w:val="004037D6"/>
    <w:rsid w:val="00474A44"/>
    <w:rsid w:val="00483EB6"/>
    <w:rsid w:val="00502F70"/>
    <w:rsid w:val="00511A6F"/>
    <w:rsid w:val="005209A9"/>
    <w:rsid w:val="00527645"/>
    <w:rsid w:val="0057529E"/>
    <w:rsid w:val="005B5C09"/>
    <w:rsid w:val="0067234C"/>
    <w:rsid w:val="006E0BDA"/>
    <w:rsid w:val="0071657C"/>
    <w:rsid w:val="0073271C"/>
    <w:rsid w:val="0076646C"/>
    <w:rsid w:val="00774C05"/>
    <w:rsid w:val="007A42AF"/>
    <w:rsid w:val="007B4779"/>
    <w:rsid w:val="007E6643"/>
    <w:rsid w:val="007F6562"/>
    <w:rsid w:val="008A0582"/>
    <w:rsid w:val="008B2F01"/>
    <w:rsid w:val="008B4C99"/>
    <w:rsid w:val="008C59DF"/>
    <w:rsid w:val="008E6A5B"/>
    <w:rsid w:val="00913217"/>
    <w:rsid w:val="009219A4"/>
    <w:rsid w:val="00936040"/>
    <w:rsid w:val="0095545A"/>
    <w:rsid w:val="009B2A6A"/>
    <w:rsid w:val="009B60ED"/>
    <w:rsid w:val="009C3537"/>
    <w:rsid w:val="009C68EA"/>
    <w:rsid w:val="00AB1922"/>
    <w:rsid w:val="00AD2496"/>
    <w:rsid w:val="00B23D5B"/>
    <w:rsid w:val="00B61847"/>
    <w:rsid w:val="00B838D5"/>
    <w:rsid w:val="00BB71FF"/>
    <w:rsid w:val="00BE26EE"/>
    <w:rsid w:val="00BF516F"/>
    <w:rsid w:val="00BF7DFF"/>
    <w:rsid w:val="00C273E2"/>
    <w:rsid w:val="00C477C9"/>
    <w:rsid w:val="00C76836"/>
    <w:rsid w:val="00CD7460"/>
    <w:rsid w:val="00CE54C5"/>
    <w:rsid w:val="00CE6850"/>
    <w:rsid w:val="00CF19E1"/>
    <w:rsid w:val="00D030CA"/>
    <w:rsid w:val="00D30F44"/>
    <w:rsid w:val="00D37896"/>
    <w:rsid w:val="00D66E8F"/>
    <w:rsid w:val="00D8088A"/>
    <w:rsid w:val="00D917CC"/>
    <w:rsid w:val="00E04A7B"/>
    <w:rsid w:val="00EB26A1"/>
    <w:rsid w:val="00F1005C"/>
    <w:rsid w:val="00F2154B"/>
    <w:rsid w:val="00F715CB"/>
    <w:rsid w:val="00FA3011"/>
    <w:rsid w:val="00FD7776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B236AE-7743-4A22-BF01-DDD4242F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715CB"/>
  </w:style>
  <w:style w:type="paragraph" w:styleId="a5">
    <w:name w:val="footer"/>
    <w:basedOn w:val="a"/>
    <w:link w:val="a6"/>
    <w:uiPriority w:val="99"/>
    <w:unhideWhenUsed/>
    <w:rsid w:val="00F71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715CB"/>
  </w:style>
  <w:style w:type="paragraph" w:styleId="a7">
    <w:name w:val="Balloon Text"/>
    <w:basedOn w:val="a"/>
    <w:link w:val="a8"/>
    <w:uiPriority w:val="99"/>
    <w:semiHidden/>
    <w:unhideWhenUsed/>
    <w:rsid w:val="00474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74A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EB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30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7622-1EA2-4FD6-AFBB-B152E1F4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2375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Semeshchuk</dc:creator>
  <cp:keywords/>
  <dc:description/>
  <cp:lastModifiedBy>Artur Kutukov</cp:lastModifiedBy>
  <cp:revision>1</cp:revision>
  <cp:lastPrinted>2025-09-11T12:27:00Z</cp:lastPrinted>
  <dcterms:created xsi:type="dcterms:W3CDTF">2025-09-19T12:29:00Z</dcterms:created>
  <dcterms:modified xsi:type="dcterms:W3CDTF">2025-09-19T12:29:00Z</dcterms:modified>
</cp:coreProperties>
</file>