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2E" w:rsidRPr="00964DF2" w:rsidRDefault="00055F2E" w:rsidP="00055F2E">
      <w:pPr>
        <w:spacing w:after="0" w:line="240" w:lineRule="auto"/>
        <w:contextualSpacing/>
        <w:jc w:val="right"/>
        <w:rPr>
          <w:rFonts w:ascii="Times New Roman" w:eastAsia="Times New Roman" w:hAnsi="Times New Roman" w:cs="Times New Roman"/>
          <w:color w:val="000000"/>
          <w:sz w:val="20"/>
          <w:szCs w:val="24"/>
          <w:lang w:val="uk-UA" w:eastAsia="ru-RU"/>
        </w:rPr>
      </w:pPr>
      <w:r w:rsidRPr="00964DF2">
        <w:rPr>
          <w:rFonts w:ascii="Times New Roman" w:eastAsia="Times New Roman" w:hAnsi="Times New Roman" w:cs="Times New Roman"/>
          <w:color w:val="000000"/>
          <w:sz w:val="20"/>
          <w:szCs w:val="24"/>
          <w:lang w:val="uk-UA" w:eastAsia="ru-RU"/>
        </w:rPr>
        <w:t xml:space="preserve">*Додаток  № 11 до Договору споживача про надання </w:t>
      </w:r>
    </w:p>
    <w:p w:rsidR="00055F2E" w:rsidRPr="00964DF2" w:rsidRDefault="00055F2E" w:rsidP="00055F2E">
      <w:pPr>
        <w:spacing w:after="0" w:line="240" w:lineRule="auto"/>
        <w:contextualSpacing/>
        <w:jc w:val="right"/>
        <w:rPr>
          <w:rFonts w:ascii="Times New Roman" w:eastAsia="Times New Roman" w:hAnsi="Times New Roman" w:cs="Times New Roman"/>
          <w:color w:val="000000"/>
          <w:sz w:val="20"/>
          <w:szCs w:val="24"/>
          <w:lang w:val="uk-UA" w:eastAsia="ru-RU"/>
        </w:rPr>
      </w:pPr>
      <w:r w:rsidRPr="00964DF2">
        <w:rPr>
          <w:rFonts w:ascii="Times New Roman" w:eastAsia="Times New Roman" w:hAnsi="Times New Roman" w:cs="Times New Roman"/>
          <w:color w:val="000000"/>
          <w:sz w:val="20"/>
          <w:szCs w:val="24"/>
          <w:lang w:val="uk-UA" w:eastAsia="ru-RU"/>
        </w:rPr>
        <w:t xml:space="preserve">послуг з розподілу (передачі) електричної енергії  </w:t>
      </w:r>
    </w:p>
    <w:p w:rsidR="00055F2E" w:rsidRPr="00964DF2" w:rsidRDefault="00055F2E" w:rsidP="00055F2E">
      <w:pPr>
        <w:spacing w:after="0" w:line="240" w:lineRule="auto"/>
        <w:contextualSpacing/>
        <w:jc w:val="right"/>
        <w:rPr>
          <w:rFonts w:ascii="Times New Roman" w:eastAsia="Times New Roman" w:hAnsi="Times New Roman" w:cs="Times New Roman"/>
          <w:color w:val="000000"/>
          <w:sz w:val="20"/>
          <w:szCs w:val="24"/>
          <w:lang w:val="uk-UA" w:eastAsia="ru-RU"/>
        </w:rPr>
      </w:pPr>
      <w:r w:rsidRPr="00964DF2">
        <w:rPr>
          <w:rFonts w:ascii="Times New Roman" w:eastAsia="Times New Roman" w:hAnsi="Times New Roman" w:cs="Times New Roman"/>
          <w:color w:val="000000"/>
          <w:sz w:val="20"/>
          <w:szCs w:val="24"/>
          <w:lang w:val="uk-UA" w:eastAsia="ru-RU"/>
        </w:rPr>
        <w:t xml:space="preserve">                                                                      від «</w:t>
      </w:r>
      <w:r w:rsidRPr="00964DF2">
        <w:rPr>
          <w:rFonts w:ascii="Times New Roman" w:eastAsia="Times New Roman" w:hAnsi="Times New Roman" w:cs="Times New Roman"/>
          <w:color w:val="000000"/>
          <w:sz w:val="20"/>
          <w:szCs w:val="24"/>
          <w:u w:val="single"/>
          <w:lang w:val="uk-UA" w:eastAsia="ru-RU"/>
        </w:rPr>
        <w:t xml:space="preserve">      </w:t>
      </w:r>
      <w:r w:rsidRPr="00964DF2">
        <w:rPr>
          <w:rFonts w:ascii="Times New Roman" w:eastAsia="Times New Roman" w:hAnsi="Times New Roman" w:cs="Times New Roman"/>
          <w:color w:val="000000"/>
          <w:sz w:val="20"/>
          <w:szCs w:val="24"/>
          <w:lang w:val="uk-UA" w:eastAsia="ru-RU"/>
        </w:rPr>
        <w:t>»</w:t>
      </w:r>
      <w:r w:rsidRPr="00964DF2">
        <w:rPr>
          <w:rFonts w:ascii="Times New Roman" w:eastAsia="Times New Roman" w:hAnsi="Times New Roman" w:cs="Times New Roman"/>
          <w:color w:val="000000"/>
          <w:sz w:val="20"/>
          <w:szCs w:val="24"/>
          <w:u w:val="single"/>
          <w:lang w:val="uk-UA" w:eastAsia="ru-RU"/>
        </w:rPr>
        <w:t xml:space="preserve">              </w:t>
      </w:r>
      <w:r w:rsidRPr="00964DF2">
        <w:rPr>
          <w:rFonts w:ascii="Times New Roman" w:eastAsia="Times New Roman" w:hAnsi="Times New Roman" w:cs="Times New Roman"/>
          <w:color w:val="000000"/>
          <w:sz w:val="20"/>
          <w:szCs w:val="24"/>
          <w:lang w:val="uk-UA" w:eastAsia="ru-RU"/>
        </w:rPr>
        <w:t>_20</w:t>
      </w:r>
      <w:r w:rsidRPr="00964DF2">
        <w:rPr>
          <w:rFonts w:ascii="Times New Roman" w:eastAsia="Times New Roman" w:hAnsi="Times New Roman" w:cs="Times New Roman"/>
          <w:color w:val="000000"/>
          <w:sz w:val="20"/>
          <w:szCs w:val="24"/>
          <w:u w:val="single"/>
          <w:lang w:val="uk-UA" w:eastAsia="ru-RU"/>
        </w:rPr>
        <w:t xml:space="preserve">    </w:t>
      </w:r>
      <w:r w:rsidRPr="00964DF2">
        <w:rPr>
          <w:rFonts w:ascii="Times New Roman" w:eastAsia="Times New Roman" w:hAnsi="Times New Roman" w:cs="Times New Roman"/>
          <w:color w:val="000000"/>
          <w:sz w:val="20"/>
          <w:szCs w:val="24"/>
          <w:lang w:val="uk-UA" w:eastAsia="ru-RU"/>
        </w:rPr>
        <w:t xml:space="preserve"> р. №___________</w:t>
      </w:r>
      <w:r w:rsidRPr="00964DF2">
        <w:rPr>
          <w:rFonts w:ascii="Times New Roman" w:eastAsia="Times New Roman" w:hAnsi="Times New Roman" w:cs="Times New Roman"/>
          <w:color w:val="000000"/>
          <w:sz w:val="20"/>
          <w:szCs w:val="24"/>
          <w:u w:val="single"/>
          <w:lang w:val="uk-UA" w:eastAsia="ru-RU"/>
        </w:rPr>
        <w:t xml:space="preserve">                       </w:t>
      </w:r>
    </w:p>
    <w:p w:rsidR="00055F2E" w:rsidRDefault="00055F2E" w:rsidP="00055F2E">
      <w:pPr>
        <w:spacing w:after="0" w:line="240" w:lineRule="auto"/>
        <w:contextualSpacing/>
        <w:jc w:val="center"/>
        <w:rPr>
          <w:rFonts w:ascii="Times New Roman" w:eastAsia="Times New Roman" w:hAnsi="Times New Roman" w:cs="Times New Roman"/>
          <w:b/>
          <w:color w:val="000000"/>
          <w:sz w:val="24"/>
          <w:szCs w:val="24"/>
          <w:lang w:val="uk-UA" w:eastAsia="ru-RU"/>
        </w:rPr>
      </w:pPr>
    </w:p>
    <w:p w:rsidR="00055F2E" w:rsidRPr="00055F2E" w:rsidRDefault="00055F2E" w:rsidP="00055F2E">
      <w:pPr>
        <w:spacing w:after="0" w:line="240" w:lineRule="auto"/>
        <w:contextualSpacing/>
        <w:jc w:val="center"/>
        <w:rPr>
          <w:rFonts w:ascii="Times New Roman" w:eastAsia="Times New Roman" w:hAnsi="Times New Roman" w:cs="Times New Roman"/>
          <w:b/>
          <w:color w:val="000000"/>
          <w:sz w:val="24"/>
          <w:szCs w:val="24"/>
          <w:lang w:val="uk-UA" w:eastAsia="ru-RU"/>
        </w:rPr>
      </w:pPr>
      <w:r w:rsidRPr="00055F2E">
        <w:rPr>
          <w:rFonts w:ascii="Times New Roman" w:eastAsia="Times New Roman" w:hAnsi="Times New Roman" w:cs="Times New Roman"/>
          <w:b/>
          <w:color w:val="000000"/>
          <w:sz w:val="24"/>
          <w:szCs w:val="24"/>
          <w:lang w:val="uk-UA" w:eastAsia="ru-RU"/>
        </w:rPr>
        <w:t>Порядок розрахунків за надану послугу із</w:t>
      </w:r>
    </w:p>
    <w:p w:rsidR="00055F2E" w:rsidRPr="00055F2E" w:rsidRDefault="00055F2E" w:rsidP="00055F2E">
      <w:pPr>
        <w:spacing w:after="0" w:line="240" w:lineRule="auto"/>
        <w:contextualSpacing/>
        <w:jc w:val="center"/>
        <w:rPr>
          <w:rFonts w:ascii="Times New Roman" w:eastAsia="Times New Roman" w:hAnsi="Times New Roman" w:cs="Times New Roman"/>
          <w:b/>
          <w:sz w:val="20"/>
          <w:szCs w:val="20"/>
          <w:lang w:val="uk-UA" w:eastAsia="ru-RU"/>
        </w:rPr>
      </w:pPr>
      <w:r w:rsidRPr="00055F2E">
        <w:rPr>
          <w:rFonts w:ascii="Times New Roman" w:eastAsia="Times New Roman" w:hAnsi="Times New Roman" w:cs="Times New Roman"/>
          <w:b/>
          <w:color w:val="000000"/>
          <w:sz w:val="24"/>
          <w:szCs w:val="24"/>
          <w:lang w:val="uk-UA" w:eastAsia="ru-RU"/>
        </w:rPr>
        <w:t>забезпечення перетікань реактивної електричної енергії</w:t>
      </w:r>
    </w:p>
    <w:p w:rsidR="008C5E96" w:rsidRDefault="008C5E96" w:rsidP="008834E1">
      <w:pPr>
        <w:spacing w:after="0" w:line="240" w:lineRule="auto"/>
        <w:jc w:val="both"/>
        <w:rPr>
          <w:rFonts w:ascii="Times New Roman" w:eastAsia="Times New Roman" w:hAnsi="Times New Roman" w:cs="Times New Roman"/>
          <w:sz w:val="18"/>
          <w:szCs w:val="18"/>
          <w:lang w:val="uk-UA" w:eastAsia="ru-RU"/>
        </w:rPr>
      </w:pPr>
      <w:r w:rsidRPr="008C5E96">
        <w:rPr>
          <w:rFonts w:ascii="Times New Roman" w:eastAsia="Times New Roman" w:hAnsi="Times New Roman" w:cs="Times New Roman"/>
          <w:sz w:val="18"/>
          <w:szCs w:val="18"/>
          <w:lang w:val="uk-UA" w:eastAsia="ru-RU"/>
        </w:rPr>
        <w:t>Цей порядок складено відповідно до Правил роздрібного ринку електричної енергії, затверджених постановою НКРЕКП від 14.03.2018</w:t>
      </w:r>
      <w:r>
        <w:rPr>
          <w:rFonts w:ascii="Times New Roman" w:eastAsia="Times New Roman" w:hAnsi="Times New Roman" w:cs="Times New Roman"/>
          <w:sz w:val="18"/>
          <w:szCs w:val="18"/>
          <w:lang w:val="uk-UA" w:eastAsia="ru-RU"/>
        </w:rPr>
        <w:t xml:space="preserve"> </w:t>
      </w:r>
      <w:r w:rsidRPr="008C5E96">
        <w:rPr>
          <w:rFonts w:ascii="Times New Roman" w:eastAsia="Times New Roman" w:hAnsi="Times New Roman" w:cs="Times New Roman"/>
          <w:sz w:val="18"/>
          <w:szCs w:val="18"/>
          <w:lang w:val="uk-UA" w:eastAsia="ru-RU"/>
        </w:rPr>
        <w:t>№ 312, та Методики обчислення плати за перетікання реактивної електроенергії, затвердженої центральн</w:t>
      </w:r>
      <w:r>
        <w:rPr>
          <w:rFonts w:ascii="Times New Roman" w:eastAsia="Times New Roman" w:hAnsi="Times New Roman" w:cs="Times New Roman"/>
          <w:sz w:val="18"/>
          <w:szCs w:val="18"/>
          <w:lang w:val="uk-UA" w:eastAsia="ru-RU"/>
        </w:rPr>
        <w:t xml:space="preserve">им органом виконавчої влади, що </w:t>
      </w:r>
      <w:r w:rsidRPr="008C5E96">
        <w:rPr>
          <w:rFonts w:ascii="Times New Roman" w:eastAsia="Times New Roman" w:hAnsi="Times New Roman" w:cs="Times New Roman"/>
          <w:sz w:val="18"/>
          <w:szCs w:val="18"/>
          <w:lang w:val="uk-UA" w:eastAsia="ru-RU"/>
        </w:rPr>
        <w:t>забезпечує формування та реалізацію державної політики в електроенергетичному комплексі (далі - Методика обчислення плати).</w:t>
      </w:r>
      <w:r w:rsidRPr="008C5E96">
        <w:rPr>
          <w:rFonts w:ascii="Times New Roman" w:eastAsia="Times New Roman" w:hAnsi="Times New Roman" w:cs="Times New Roman"/>
          <w:sz w:val="18"/>
          <w:szCs w:val="18"/>
          <w:lang w:val="uk-UA" w:eastAsia="ru-RU"/>
        </w:rPr>
        <w:cr/>
        <w:t>Для розрахунку плати за перетікання реактивної електричної енергії використову</w:t>
      </w:r>
      <w:r>
        <w:rPr>
          <w:rFonts w:ascii="Times New Roman" w:eastAsia="Times New Roman" w:hAnsi="Times New Roman" w:cs="Times New Roman"/>
          <w:sz w:val="18"/>
          <w:szCs w:val="18"/>
          <w:lang w:val="uk-UA" w:eastAsia="ru-RU"/>
        </w:rPr>
        <w:t>ються дані, зазначені в Таблиці п.5 та п.7</w:t>
      </w:r>
      <w:r w:rsidRPr="008C5E96">
        <w:rPr>
          <w:rFonts w:ascii="Times New Roman" w:eastAsia="Times New Roman" w:hAnsi="Times New Roman" w:cs="Times New Roman"/>
          <w:sz w:val="18"/>
          <w:szCs w:val="18"/>
          <w:lang w:val="uk-UA" w:eastAsia="ru-RU"/>
        </w:rPr>
        <w:t xml:space="preserve"> Додатка,</w:t>
      </w:r>
      <w:r>
        <w:rPr>
          <w:rFonts w:ascii="Times New Roman" w:eastAsia="Times New Roman" w:hAnsi="Times New Roman" w:cs="Times New Roman"/>
          <w:sz w:val="18"/>
          <w:szCs w:val="18"/>
          <w:lang w:val="uk-UA" w:eastAsia="ru-RU"/>
        </w:rPr>
        <w:t xml:space="preserve"> </w:t>
      </w:r>
      <w:r w:rsidRPr="008C5E96">
        <w:rPr>
          <w:rFonts w:ascii="Times New Roman" w:eastAsia="Times New Roman" w:hAnsi="Times New Roman" w:cs="Times New Roman"/>
          <w:sz w:val="18"/>
          <w:szCs w:val="18"/>
          <w:lang w:val="uk-UA" w:eastAsia="ru-RU"/>
        </w:rPr>
        <w:t>Акті розмежування балансової належності електромереж та експлуатаційної відповідальності сторін та однолінійній схемі, що є додатками до</w:t>
      </w:r>
      <w:r>
        <w:rPr>
          <w:rFonts w:ascii="Times New Roman" w:eastAsia="Times New Roman" w:hAnsi="Times New Roman" w:cs="Times New Roman"/>
          <w:sz w:val="18"/>
          <w:szCs w:val="18"/>
          <w:lang w:val="uk-UA" w:eastAsia="ru-RU"/>
        </w:rPr>
        <w:t xml:space="preserve"> </w:t>
      </w:r>
      <w:r w:rsidRPr="008C5E96">
        <w:rPr>
          <w:rFonts w:ascii="Times New Roman" w:eastAsia="Times New Roman" w:hAnsi="Times New Roman" w:cs="Times New Roman"/>
          <w:sz w:val="18"/>
          <w:szCs w:val="18"/>
          <w:lang w:val="uk-UA" w:eastAsia="ru-RU"/>
        </w:rPr>
        <w:t>Договору про надання послуг з розподілу електричної енергії.</w:t>
      </w:r>
    </w:p>
    <w:p w:rsidR="00055F2E" w:rsidRPr="00055F2E" w:rsidRDefault="00055F2E" w:rsidP="008834E1">
      <w:pPr>
        <w:spacing w:after="0" w:line="240" w:lineRule="auto"/>
        <w:jc w:val="both"/>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lang w:val="uk-UA" w:eastAsia="uk-UA"/>
        </w:rPr>
        <w:t>У відповідності до вимог Методики Оператор системи з</w:t>
      </w:r>
      <w:r w:rsidR="00E95AC5">
        <w:rPr>
          <w:rFonts w:ascii="Times New Roman" w:eastAsia="Times New Roman" w:hAnsi="Times New Roman" w:cs="Times New Roman"/>
          <w:sz w:val="18"/>
          <w:szCs w:val="18"/>
          <w:lang w:val="uk-UA" w:eastAsia="uk-UA"/>
        </w:rPr>
        <w:t>о</w:t>
      </w:r>
      <w:r w:rsidRPr="00055F2E">
        <w:rPr>
          <w:rFonts w:ascii="Times New Roman" w:eastAsia="Times New Roman" w:hAnsi="Times New Roman" w:cs="Times New Roman"/>
          <w:sz w:val="18"/>
          <w:szCs w:val="18"/>
          <w:lang w:val="uk-UA" w:eastAsia="uk-UA"/>
        </w:rPr>
        <w:t xml:space="preserve">бов’язаний </w:t>
      </w:r>
      <w:r w:rsidRPr="00055F2E">
        <w:rPr>
          <w:rFonts w:ascii="Times New Roman" w:eastAsia="Times New Roman" w:hAnsi="Times New Roman" w:cs="Times New Roman"/>
          <w:sz w:val="17"/>
          <w:szCs w:val="17"/>
          <w:lang w:val="uk-UA" w:eastAsia="uk-UA"/>
        </w:rPr>
        <w:t>надавати Споживачу послуги із забезпечення перетікань реактивної електричної енергії, а Споживач  зобов’язується  здійснювати оплату за послуги із забезпечення  перетікань реактивної електричної енергії на межі балансової належності електромереж згідно з даним Порядком.</w:t>
      </w:r>
    </w:p>
    <w:p w:rsidR="00055F2E" w:rsidRPr="00055F2E" w:rsidRDefault="00055F2E" w:rsidP="00055F2E">
      <w:pPr>
        <w:tabs>
          <w:tab w:val="left" w:pos="0"/>
        </w:tabs>
        <w:spacing w:after="0" w:line="240" w:lineRule="auto"/>
        <w:ind w:left="720"/>
        <w:contextualSpacing/>
        <w:jc w:val="both"/>
        <w:rPr>
          <w:rFonts w:ascii="Times New Roman" w:eastAsia="Times New Roman" w:hAnsi="Times New Roman" w:cs="Times New Roman"/>
          <w:b/>
          <w:sz w:val="18"/>
          <w:szCs w:val="18"/>
          <w:lang w:val="uk-UA" w:eastAsia="ru-RU"/>
        </w:rPr>
      </w:pPr>
      <w:r w:rsidRPr="00055F2E">
        <w:rPr>
          <w:rFonts w:ascii="Times New Roman" w:eastAsia="Times New Roman" w:hAnsi="Times New Roman" w:cs="Times New Roman"/>
          <w:sz w:val="18"/>
          <w:szCs w:val="18"/>
          <w:lang w:val="uk-UA" w:eastAsia="ru-RU"/>
        </w:rPr>
        <w:t>1. Споживач (назва) ____________________________________</w:t>
      </w:r>
    </w:p>
    <w:p w:rsidR="00055F2E" w:rsidRPr="00055F2E" w:rsidRDefault="00055F2E" w:rsidP="00055F2E">
      <w:pPr>
        <w:tabs>
          <w:tab w:val="left" w:pos="0"/>
        </w:tabs>
        <w:spacing w:after="0" w:line="240" w:lineRule="auto"/>
        <w:ind w:left="720"/>
        <w:contextualSpacing/>
        <w:jc w:val="both"/>
        <w:rPr>
          <w:rFonts w:ascii="Times New Roman" w:eastAsia="Times New Roman" w:hAnsi="Times New Roman" w:cs="Times New Roman"/>
          <w:bCs/>
          <w:color w:val="000000"/>
          <w:sz w:val="16"/>
          <w:szCs w:val="16"/>
          <w:lang w:val="uk-UA" w:eastAsia="uk-UA"/>
        </w:rPr>
      </w:pPr>
      <w:r w:rsidRPr="00055F2E">
        <w:rPr>
          <w:rFonts w:ascii="Times New Roman" w:eastAsia="Times New Roman" w:hAnsi="Times New Roman" w:cs="Times New Roman"/>
          <w:sz w:val="18"/>
          <w:szCs w:val="18"/>
          <w:lang w:val="uk-UA" w:eastAsia="ru-RU"/>
        </w:rPr>
        <w:t xml:space="preserve">2. Юридична </w:t>
      </w:r>
      <w:r w:rsidR="00964DF2">
        <w:rPr>
          <w:rFonts w:ascii="Times New Roman" w:eastAsia="Times New Roman" w:hAnsi="Times New Roman" w:cs="Times New Roman"/>
          <w:sz w:val="18"/>
          <w:szCs w:val="18"/>
          <w:lang w:val="uk-UA" w:eastAsia="ru-RU"/>
        </w:rPr>
        <w:t>а</w:t>
      </w:r>
      <w:r w:rsidRPr="00055F2E">
        <w:rPr>
          <w:rFonts w:ascii="Times New Roman" w:eastAsia="Times New Roman" w:hAnsi="Times New Roman" w:cs="Times New Roman"/>
          <w:sz w:val="18"/>
          <w:szCs w:val="18"/>
          <w:lang w:val="uk-UA" w:eastAsia="ru-RU"/>
        </w:rPr>
        <w:t>дреса Споживача</w:t>
      </w:r>
      <w:r w:rsidRPr="00055F2E">
        <w:rPr>
          <w:rFonts w:ascii="Times New Roman" w:eastAsia="Times New Roman" w:hAnsi="Times New Roman" w:cs="Times New Roman"/>
          <w:bCs/>
          <w:color w:val="000000"/>
          <w:sz w:val="16"/>
          <w:szCs w:val="16"/>
          <w:lang w:val="uk-UA" w:eastAsia="uk-UA"/>
        </w:rPr>
        <w:t>_____________________________________________</w:t>
      </w:r>
    </w:p>
    <w:p w:rsidR="00055F2E" w:rsidRPr="00055F2E" w:rsidRDefault="00055F2E" w:rsidP="00055F2E">
      <w:pPr>
        <w:tabs>
          <w:tab w:val="left" w:pos="0"/>
        </w:tabs>
        <w:spacing w:after="0" w:line="240" w:lineRule="auto"/>
        <w:ind w:left="720"/>
        <w:contextualSpacing/>
        <w:jc w:val="both"/>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uk-UA" w:eastAsia="ru-RU"/>
        </w:rPr>
        <w:t>3. Дозволена потужність об'єкта (кВт): Pдозв</w:t>
      </w:r>
      <w:r w:rsidRPr="00055F2E">
        <w:rPr>
          <w:rFonts w:ascii="Times New Roman" w:eastAsia="Times New Roman" w:hAnsi="Times New Roman" w:cs="Times New Roman"/>
          <w:sz w:val="18"/>
          <w:szCs w:val="18"/>
          <w:vertAlign w:val="subscript"/>
          <w:lang w:val="uk-UA" w:eastAsia="ru-RU"/>
        </w:rPr>
        <w:t>1</w:t>
      </w:r>
      <w:r w:rsidRPr="00055F2E">
        <w:rPr>
          <w:rFonts w:ascii="Times New Roman" w:eastAsia="Times New Roman" w:hAnsi="Times New Roman" w:cs="Times New Roman"/>
          <w:sz w:val="18"/>
          <w:szCs w:val="18"/>
          <w:lang w:val="uk-UA" w:eastAsia="ru-RU"/>
        </w:rPr>
        <w:t xml:space="preserve"> = </w:t>
      </w:r>
      <w:r w:rsidRPr="00055F2E">
        <w:rPr>
          <w:rFonts w:ascii="Times New Roman" w:eastAsia="Times New Roman" w:hAnsi="Times New Roman" w:cs="Times New Roman"/>
          <w:sz w:val="18"/>
          <w:szCs w:val="18"/>
          <w:lang w:eastAsia="ru-RU"/>
        </w:rPr>
        <w:t>___________, Рдозв</w:t>
      </w:r>
      <w:r w:rsidRPr="00055F2E">
        <w:rPr>
          <w:rFonts w:ascii="Times New Roman" w:eastAsia="Times New Roman" w:hAnsi="Times New Roman" w:cs="Times New Roman"/>
          <w:sz w:val="18"/>
          <w:szCs w:val="18"/>
          <w:vertAlign w:val="subscript"/>
          <w:lang w:eastAsia="ru-RU"/>
        </w:rPr>
        <w:t>2</w:t>
      </w:r>
      <w:r w:rsidRPr="00055F2E">
        <w:rPr>
          <w:rFonts w:ascii="Times New Roman" w:eastAsia="Times New Roman" w:hAnsi="Times New Roman" w:cs="Times New Roman"/>
          <w:sz w:val="18"/>
          <w:szCs w:val="18"/>
          <w:lang w:eastAsia="ru-RU"/>
        </w:rPr>
        <w:t>=___________</w:t>
      </w:r>
    </w:p>
    <w:p w:rsidR="00055F2E" w:rsidRPr="00055F2E" w:rsidRDefault="00055F2E" w:rsidP="00055F2E">
      <w:pPr>
        <w:tabs>
          <w:tab w:val="left" w:pos="0"/>
        </w:tabs>
        <w:spacing w:after="0" w:line="240" w:lineRule="auto"/>
        <w:ind w:left="720"/>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 Режим роботи:</w:t>
      </w:r>
      <w:r w:rsidR="00964DF2">
        <w:rPr>
          <w:rFonts w:ascii="Times New Roman" w:eastAsia="Times New Roman" w:hAnsi="Times New Roman" w:cs="Times New Roman"/>
          <w:sz w:val="18"/>
          <w:szCs w:val="18"/>
          <w:lang w:val="uk-UA" w:eastAsia="ru-RU"/>
        </w:rPr>
        <w:t xml:space="preserve"> </w:t>
      </w:r>
      <w:r w:rsidRPr="00055F2E">
        <w:rPr>
          <w:rFonts w:ascii="Times New Roman" w:eastAsia="Times New Roman" w:hAnsi="Times New Roman" w:cs="Times New Roman"/>
          <w:sz w:val="18"/>
          <w:szCs w:val="18"/>
          <w:lang w:val="uk-UA" w:eastAsia="ru-RU"/>
        </w:rPr>
        <w:t xml:space="preserve">однозмінний, двозмінний, тризмінний, </w:t>
      </w:r>
      <w:r w:rsidRPr="00055F2E">
        <w:rPr>
          <w:rFonts w:ascii="Times New Roman" w:eastAsia="Times New Roman" w:hAnsi="Times New Roman" w:cs="Times New Roman"/>
          <w:b/>
          <w:sz w:val="18"/>
          <w:szCs w:val="18"/>
          <w:lang w:val="uk-UA" w:eastAsia="ru-RU"/>
        </w:rPr>
        <w:t>безперервний,</w:t>
      </w:r>
      <w:r w:rsidRPr="00055F2E">
        <w:rPr>
          <w:rFonts w:ascii="Times New Roman" w:eastAsia="Times New Roman" w:hAnsi="Times New Roman" w:cs="Times New Roman"/>
          <w:sz w:val="18"/>
          <w:szCs w:val="18"/>
          <w:lang w:val="uk-UA" w:eastAsia="ru-RU"/>
        </w:rPr>
        <w:t xml:space="preserve"> сезонний, перемінний (необхідне підкреслити)</w:t>
      </w:r>
    </w:p>
    <w:p w:rsidR="00055F2E" w:rsidRPr="00055F2E" w:rsidRDefault="00055F2E" w:rsidP="00055F2E">
      <w:pPr>
        <w:tabs>
          <w:tab w:val="left" w:pos="0"/>
        </w:tabs>
        <w:spacing w:after="0" w:line="240" w:lineRule="auto"/>
        <w:ind w:left="720"/>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5. Встановлена потужність </w:t>
      </w:r>
      <w:proofErr w:type="spellStart"/>
      <w:r w:rsidRPr="00055F2E">
        <w:rPr>
          <w:rFonts w:ascii="Times New Roman" w:eastAsia="Times New Roman" w:hAnsi="Times New Roman" w:cs="Times New Roman"/>
          <w:sz w:val="18"/>
          <w:szCs w:val="18"/>
          <w:lang w:val="uk-UA" w:eastAsia="ru-RU"/>
        </w:rPr>
        <w:t>компенсувальних</w:t>
      </w:r>
      <w:proofErr w:type="spellEnd"/>
      <w:r w:rsidRPr="00055F2E">
        <w:rPr>
          <w:rFonts w:ascii="Times New Roman" w:eastAsia="Times New Roman" w:hAnsi="Times New Roman" w:cs="Times New Roman"/>
          <w:sz w:val="18"/>
          <w:szCs w:val="18"/>
          <w:lang w:val="uk-UA" w:eastAsia="ru-RU"/>
        </w:rPr>
        <w:t xml:space="preserve"> установок (КУ) Споживача: ___________</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
        <w:gridCol w:w="696"/>
        <w:gridCol w:w="12"/>
        <w:gridCol w:w="4709"/>
        <w:gridCol w:w="12"/>
        <w:gridCol w:w="1079"/>
        <w:gridCol w:w="12"/>
        <w:gridCol w:w="1547"/>
        <w:gridCol w:w="12"/>
        <w:gridCol w:w="1122"/>
        <w:gridCol w:w="10"/>
      </w:tblGrid>
      <w:tr w:rsidR="00055F2E" w:rsidRPr="00055F2E" w:rsidTr="004956C5">
        <w:trPr>
          <w:gridAfter w:val="1"/>
          <w:wAfter w:w="10" w:type="dxa"/>
          <w:cantSplit/>
          <w:jc w:val="center"/>
        </w:trPr>
        <w:tc>
          <w:tcPr>
            <w:tcW w:w="709" w:type="dxa"/>
            <w:gridSpan w:val="2"/>
            <w:vMerge w:val="restart"/>
            <w:vAlign w:val="center"/>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п/п</w:t>
            </w:r>
          </w:p>
        </w:tc>
        <w:tc>
          <w:tcPr>
            <w:tcW w:w="4721" w:type="dxa"/>
            <w:gridSpan w:val="2"/>
            <w:vMerge w:val="restart"/>
            <w:tcBorders>
              <w:left w:val="nil"/>
            </w:tcBorders>
            <w:vAlign w:val="center"/>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Тип КУ</w:t>
            </w:r>
          </w:p>
        </w:tc>
        <w:tc>
          <w:tcPr>
            <w:tcW w:w="2650" w:type="dxa"/>
            <w:gridSpan w:val="4"/>
            <w:tcBorders>
              <w:left w:val="nil"/>
            </w:tcBorders>
            <w:vAlign w:val="center"/>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Номінальна напруга</w:t>
            </w:r>
          </w:p>
        </w:tc>
        <w:tc>
          <w:tcPr>
            <w:tcW w:w="1134" w:type="dxa"/>
            <w:gridSpan w:val="2"/>
            <w:tcBorders>
              <w:left w:val="nil"/>
            </w:tcBorders>
            <w:vAlign w:val="center"/>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Усього</w:t>
            </w:r>
          </w:p>
        </w:tc>
      </w:tr>
      <w:tr w:rsidR="00055F2E" w:rsidRPr="00055F2E" w:rsidTr="004956C5">
        <w:trPr>
          <w:gridAfter w:val="1"/>
          <w:wAfter w:w="10" w:type="dxa"/>
          <w:cantSplit/>
          <w:trHeight w:val="175"/>
          <w:jc w:val="center"/>
        </w:trPr>
        <w:tc>
          <w:tcPr>
            <w:tcW w:w="709" w:type="dxa"/>
            <w:gridSpan w:val="2"/>
            <w:vMerge/>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4721" w:type="dxa"/>
            <w:gridSpan w:val="2"/>
            <w:vMerge/>
            <w:tcBorders>
              <w:left w:val="nil"/>
            </w:tcBorders>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до 1000 В</w:t>
            </w: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понад 1000 В</w:t>
            </w:r>
          </w:p>
        </w:tc>
        <w:tc>
          <w:tcPr>
            <w:tcW w:w="1134"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r>
      <w:tr w:rsidR="00055F2E" w:rsidRPr="00055F2E" w:rsidTr="004956C5">
        <w:trPr>
          <w:gridBefore w:val="1"/>
          <w:wBefore w:w="13" w:type="dxa"/>
          <w:jc w:val="center"/>
        </w:trPr>
        <w:tc>
          <w:tcPr>
            <w:tcW w:w="708" w:type="dxa"/>
            <w:gridSpan w:val="2"/>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w:t>
            </w:r>
          </w:p>
        </w:tc>
        <w:tc>
          <w:tcPr>
            <w:tcW w:w="472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Конденсаторні установки, </w:t>
            </w:r>
            <w:proofErr w:type="spellStart"/>
            <w:r w:rsidRPr="00055F2E">
              <w:rPr>
                <w:rFonts w:ascii="Times New Roman" w:eastAsia="Times New Roman" w:hAnsi="Times New Roman" w:cs="Times New Roman"/>
                <w:sz w:val="18"/>
                <w:szCs w:val="18"/>
                <w:lang w:val="uk-UA" w:eastAsia="ru-RU"/>
              </w:rPr>
              <w:t>кВАр</w:t>
            </w:r>
            <w:proofErr w:type="spellEnd"/>
            <w:r w:rsidRPr="00055F2E">
              <w:rPr>
                <w:rFonts w:ascii="Times New Roman" w:eastAsia="Times New Roman" w:hAnsi="Times New Roman" w:cs="Times New Roman"/>
                <w:sz w:val="18"/>
                <w:szCs w:val="18"/>
                <w:lang w:val="uk-UA" w:eastAsia="ru-RU"/>
              </w:rPr>
              <w:t xml:space="preserve"> в тому числі:</w:t>
            </w:r>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132"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r>
      <w:tr w:rsidR="00055F2E" w:rsidRPr="00055F2E" w:rsidTr="004956C5">
        <w:trPr>
          <w:gridBefore w:val="1"/>
          <w:wBefore w:w="13" w:type="dxa"/>
          <w:jc w:val="center"/>
        </w:trPr>
        <w:tc>
          <w:tcPr>
            <w:tcW w:w="708" w:type="dxa"/>
            <w:gridSpan w:val="2"/>
          </w:tcPr>
          <w:p w:rsidR="00055F2E" w:rsidRPr="00055F2E" w:rsidRDefault="00055F2E" w:rsidP="00055F2E">
            <w:pPr>
              <w:tabs>
                <w:tab w:val="left" w:pos="0"/>
              </w:tabs>
              <w:spacing w:after="0" w:line="240" w:lineRule="auto"/>
              <w:contextualSpacing/>
              <w:jc w:val="right"/>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1.1.</w:t>
            </w:r>
          </w:p>
        </w:tc>
        <w:tc>
          <w:tcPr>
            <w:tcW w:w="472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З автоматичним регулюванням, </w:t>
            </w:r>
            <w:proofErr w:type="spellStart"/>
            <w:r w:rsidRPr="00055F2E">
              <w:rPr>
                <w:rFonts w:ascii="Times New Roman" w:eastAsia="Times New Roman" w:hAnsi="Times New Roman" w:cs="Times New Roman"/>
                <w:sz w:val="18"/>
                <w:szCs w:val="18"/>
                <w:lang w:val="uk-UA" w:eastAsia="ru-RU"/>
              </w:rPr>
              <w:t>кВАр</w:t>
            </w:r>
            <w:proofErr w:type="spellEnd"/>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en-US" w:eastAsia="ru-RU"/>
              </w:rPr>
            </w:pP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132"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en-US" w:eastAsia="ru-RU"/>
              </w:rPr>
            </w:pPr>
          </w:p>
        </w:tc>
      </w:tr>
      <w:tr w:rsidR="00055F2E" w:rsidRPr="00055F2E" w:rsidTr="004956C5">
        <w:trPr>
          <w:gridBefore w:val="1"/>
          <w:wBefore w:w="13" w:type="dxa"/>
          <w:jc w:val="center"/>
        </w:trPr>
        <w:tc>
          <w:tcPr>
            <w:tcW w:w="708" w:type="dxa"/>
            <w:gridSpan w:val="2"/>
          </w:tcPr>
          <w:p w:rsidR="00055F2E" w:rsidRPr="00055F2E" w:rsidRDefault="00055F2E" w:rsidP="00055F2E">
            <w:pPr>
              <w:tabs>
                <w:tab w:val="left" w:pos="0"/>
              </w:tabs>
              <w:spacing w:after="0" w:line="240" w:lineRule="auto"/>
              <w:contextualSpacing/>
              <w:jc w:val="right"/>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1.2.</w:t>
            </w:r>
          </w:p>
        </w:tc>
        <w:tc>
          <w:tcPr>
            <w:tcW w:w="472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З ручним регулюванням, </w:t>
            </w:r>
            <w:proofErr w:type="spellStart"/>
            <w:r w:rsidRPr="00055F2E">
              <w:rPr>
                <w:rFonts w:ascii="Times New Roman" w:eastAsia="Times New Roman" w:hAnsi="Times New Roman" w:cs="Times New Roman"/>
                <w:sz w:val="18"/>
                <w:szCs w:val="18"/>
                <w:lang w:val="uk-UA" w:eastAsia="ru-RU"/>
              </w:rPr>
              <w:t>кВАр</w:t>
            </w:r>
            <w:proofErr w:type="spellEnd"/>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132"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r>
      <w:tr w:rsidR="00055F2E" w:rsidRPr="00055F2E" w:rsidTr="004956C5">
        <w:trPr>
          <w:gridBefore w:val="1"/>
          <w:wBefore w:w="13" w:type="dxa"/>
          <w:jc w:val="center"/>
        </w:trPr>
        <w:tc>
          <w:tcPr>
            <w:tcW w:w="708" w:type="dxa"/>
            <w:gridSpan w:val="2"/>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w:t>
            </w:r>
          </w:p>
        </w:tc>
        <w:tc>
          <w:tcPr>
            <w:tcW w:w="472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Синхронні двигуни (СД), кВт</w:t>
            </w:r>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132"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r>
      <w:tr w:rsidR="00055F2E" w:rsidRPr="00055F2E" w:rsidTr="004956C5">
        <w:trPr>
          <w:gridBefore w:val="1"/>
          <w:wBefore w:w="13" w:type="dxa"/>
          <w:jc w:val="center"/>
        </w:trPr>
        <w:tc>
          <w:tcPr>
            <w:tcW w:w="708" w:type="dxa"/>
            <w:gridSpan w:val="2"/>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w:t>
            </w:r>
          </w:p>
        </w:tc>
        <w:tc>
          <w:tcPr>
            <w:tcW w:w="472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Пристрої КРП, зблоковані з технологічним обладнанням, </w:t>
            </w:r>
            <w:proofErr w:type="spellStart"/>
            <w:r w:rsidRPr="00055F2E">
              <w:rPr>
                <w:rFonts w:ascii="Times New Roman" w:eastAsia="Times New Roman" w:hAnsi="Times New Roman" w:cs="Times New Roman"/>
                <w:sz w:val="18"/>
                <w:szCs w:val="18"/>
                <w:lang w:val="uk-UA" w:eastAsia="ru-RU"/>
              </w:rPr>
              <w:t>кВАр</w:t>
            </w:r>
            <w:proofErr w:type="spellEnd"/>
          </w:p>
        </w:tc>
        <w:tc>
          <w:tcPr>
            <w:tcW w:w="1091"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559"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c>
          <w:tcPr>
            <w:tcW w:w="1132" w:type="dxa"/>
            <w:gridSpan w:val="2"/>
            <w:tcBorders>
              <w:left w:val="nil"/>
            </w:tcBorders>
          </w:tcPr>
          <w:p w:rsidR="00055F2E" w:rsidRPr="00055F2E" w:rsidRDefault="00055F2E" w:rsidP="00055F2E">
            <w:pPr>
              <w:tabs>
                <w:tab w:val="left" w:pos="0"/>
              </w:tabs>
              <w:spacing w:after="0" w:line="240" w:lineRule="auto"/>
              <w:contextualSpacing/>
              <w:rPr>
                <w:rFonts w:ascii="Times New Roman" w:eastAsia="Times New Roman" w:hAnsi="Times New Roman" w:cs="Times New Roman"/>
                <w:sz w:val="18"/>
                <w:szCs w:val="18"/>
                <w:lang w:val="uk-UA" w:eastAsia="ru-RU"/>
              </w:rPr>
            </w:pPr>
          </w:p>
        </w:tc>
      </w:tr>
    </w:tbl>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Відключені від електромереж установки повинні бути опломбовані персоналом Оператора системи при складанні цього додатку та  не вносяться до даної таблиці.</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6. В точках вимірювання об'єкта споживача встановлено виключно пристрої генерації активної електроенергії згідно з ліцензією на  електричну та теплову енергію, що виробляється </w:t>
      </w:r>
      <w:proofErr w:type="spellStart"/>
      <w:r w:rsidRPr="00055F2E">
        <w:rPr>
          <w:rFonts w:ascii="Times New Roman" w:eastAsia="Times New Roman" w:hAnsi="Times New Roman" w:cs="Times New Roman"/>
          <w:sz w:val="18"/>
          <w:szCs w:val="18"/>
          <w:lang w:val="uk-UA" w:eastAsia="ru-RU"/>
        </w:rPr>
        <w:t>когенераційними</w:t>
      </w:r>
      <w:proofErr w:type="spellEnd"/>
      <w:r w:rsidRPr="00055F2E">
        <w:rPr>
          <w:rFonts w:ascii="Times New Roman" w:eastAsia="Times New Roman" w:hAnsi="Times New Roman" w:cs="Times New Roman"/>
          <w:sz w:val="18"/>
          <w:szCs w:val="18"/>
          <w:lang w:val="uk-UA" w:eastAsia="ru-RU"/>
        </w:rPr>
        <w:t xml:space="preserve"> установками, або це точки вимірювання ТЕЦ, МГЕС, ВЕС, СЕС тощо (так/ні): ___________</w:t>
      </w:r>
    </w:p>
    <w:p w:rsidR="00055F2E" w:rsidRPr="00055F2E" w:rsidRDefault="00055F2E" w:rsidP="00055F2E">
      <w:pPr>
        <w:tabs>
          <w:tab w:val="left" w:pos="709"/>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7. Характеристики точок вимірювання електроенергії об'єкта споживача:</w:t>
      </w:r>
    </w:p>
    <w:tbl>
      <w:tblPr>
        <w:tblW w:w="8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3"/>
        <w:gridCol w:w="1306"/>
        <w:gridCol w:w="1734"/>
        <w:gridCol w:w="382"/>
        <w:gridCol w:w="337"/>
        <w:gridCol w:w="370"/>
        <w:gridCol w:w="326"/>
        <w:gridCol w:w="350"/>
        <w:gridCol w:w="1400"/>
        <w:gridCol w:w="516"/>
        <w:gridCol w:w="728"/>
        <w:gridCol w:w="761"/>
      </w:tblGrid>
      <w:tr w:rsidR="00055F2E" w:rsidRPr="00055F2E" w:rsidTr="004956C5">
        <w:trPr>
          <w:trHeight w:val="629"/>
          <w:jc w:val="center"/>
        </w:trPr>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w:t>
            </w:r>
          </w:p>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з/п</w:t>
            </w:r>
          </w:p>
        </w:tc>
        <w:tc>
          <w:tcPr>
            <w:tcW w:w="1306" w:type="dxa"/>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Точка</w:t>
            </w:r>
          </w:p>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вимірювання</w:t>
            </w:r>
          </w:p>
        </w:tc>
        <w:tc>
          <w:tcPr>
            <w:tcW w:w="1734" w:type="dxa"/>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ЕІС-код</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vertAlign w:val="subscript"/>
                <w:lang w:eastAsia="ru-RU"/>
              </w:rPr>
            </w:pPr>
            <w:r w:rsidRPr="00055F2E">
              <w:rPr>
                <w:rFonts w:ascii="Times New Roman" w:eastAsia="Times New Roman" w:hAnsi="Times New Roman" w:cs="Times New Roman"/>
                <w:sz w:val="18"/>
                <w:szCs w:val="18"/>
                <w:lang w:val="en-US" w:eastAsia="ru-RU"/>
              </w:rPr>
              <w:t>A</w:t>
            </w:r>
            <w:r w:rsidRPr="00055F2E">
              <w:rPr>
                <w:rFonts w:ascii="Times New Roman" w:eastAsia="Times New Roman" w:hAnsi="Times New Roman" w:cs="Times New Roman"/>
                <w:sz w:val="18"/>
                <w:szCs w:val="18"/>
                <w:vertAlign w:val="superscript"/>
                <w:lang w:val="en-US" w:eastAsia="ru-RU"/>
              </w:rPr>
              <w:t>+</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eastAsia="ru-RU"/>
              </w:rPr>
              <w:t>Р</w:t>
            </w:r>
            <w:r w:rsidRPr="00055F2E">
              <w:rPr>
                <w:rFonts w:ascii="Times New Roman" w:eastAsia="Times New Roman" w:hAnsi="Times New Roman" w:cs="Times New Roman"/>
                <w:sz w:val="18"/>
                <w:szCs w:val="18"/>
                <w:vertAlign w:val="superscript"/>
                <w:lang w:val="uk-UA" w:eastAsia="ru-RU"/>
              </w:rPr>
              <w:t>+</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en-US" w:eastAsia="ru-RU"/>
              </w:rPr>
              <w:t>A</w:t>
            </w:r>
            <w:r w:rsidRPr="00055F2E">
              <w:rPr>
                <w:rFonts w:ascii="Times New Roman" w:eastAsia="Times New Roman" w:hAnsi="Times New Roman" w:cs="Times New Roman"/>
                <w:sz w:val="18"/>
                <w:szCs w:val="18"/>
                <w:vertAlign w:val="superscript"/>
                <w:lang w:val="en-US" w:eastAsia="ru-RU"/>
              </w:rPr>
              <w:t>–</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eastAsia="ru-RU"/>
              </w:rPr>
              <w:t>Р</w:t>
            </w:r>
            <w:r w:rsidRPr="00055F2E">
              <w:rPr>
                <w:rFonts w:ascii="Times New Roman" w:eastAsia="Times New Roman" w:hAnsi="Times New Roman" w:cs="Times New Roman"/>
                <w:sz w:val="18"/>
                <w:szCs w:val="18"/>
                <w:vertAlign w:val="superscript"/>
                <w:lang w:val="en-US" w:eastAsia="ru-RU"/>
              </w:rPr>
              <w:t>–</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eastAsia="ru-RU"/>
              </w:rPr>
              <w:t>З</w:t>
            </w:r>
            <w:r w:rsidRPr="00055F2E">
              <w:rPr>
                <w:rFonts w:ascii="Times New Roman" w:eastAsia="Times New Roman" w:hAnsi="Times New Roman" w:cs="Times New Roman"/>
                <w:sz w:val="18"/>
                <w:szCs w:val="18"/>
                <w:vertAlign w:val="superscript"/>
                <w:lang w:eastAsia="ru-RU"/>
              </w:rPr>
              <w:t>Н</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Точка</w:t>
            </w:r>
          </w:p>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uk-UA" w:eastAsia="ru-RU"/>
              </w:rPr>
              <w:t>розрахунку</w:t>
            </w:r>
          </w:p>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 ЕЕРП</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en-US" w:eastAsia="ru-RU"/>
              </w:rPr>
              <w:t>P</w:t>
            </w:r>
            <w:r w:rsidRPr="00055F2E">
              <w:rPr>
                <w:rFonts w:ascii="Times New Roman" w:eastAsia="Times New Roman" w:hAnsi="Times New Roman" w:cs="Times New Roman"/>
                <w:sz w:val="18"/>
                <w:szCs w:val="18"/>
                <w:lang w:eastAsia="ru-RU"/>
              </w:rPr>
              <w:t>,</w:t>
            </w:r>
          </w:p>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eastAsia="ru-RU"/>
              </w:rPr>
              <w:t>кВт</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en-US" w:eastAsia="ru-RU"/>
              </w:rPr>
              <w:t>Q</w:t>
            </w:r>
            <w:r w:rsidRPr="00055F2E">
              <w:rPr>
                <w:rFonts w:ascii="Times New Roman" w:eastAsia="Times New Roman" w:hAnsi="Times New Roman" w:cs="Times New Roman"/>
                <w:sz w:val="18"/>
                <w:szCs w:val="18"/>
                <w:lang w:eastAsia="ru-RU"/>
              </w:rPr>
              <w:t>,</w:t>
            </w:r>
          </w:p>
          <w:p w:rsidR="00055F2E" w:rsidRPr="00055F2E" w:rsidRDefault="00055F2E" w:rsidP="00055F2E">
            <w:pPr>
              <w:spacing w:after="0" w:line="240" w:lineRule="auto"/>
              <w:jc w:val="center"/>
              <w:rPr>
                <w:rFonts w:ascii="Times New Roman" w:eastAsia="Times New Roman" w:hAnsi="Times New Roman" w:cs="Times New Roman"/>
                <w:sz w:val="18"/>
                <w:szCs w:val="18"/>
                <w:lang w:eastAsia="ru-RU"/>
              </w:rPr>
            </w:pPr>
            <w:proofErr w:type="spellStart"/>
            <w:r w:rsidRPr="00055F2E">
              <w:rPr>
                <w:rFonts w:ascii="Times New Roman" w:eastAsia="Times New Roman" w:hAnsi="Times New Roman" w:cs="Times New Roman"/>
                <w:sz w:val="18"/>
                <w:szCs w:val="18"/>
                <w:lang w:eastAsia="ru-RU"/>
              </w:rPr>
              <w:t>кВАр</w:t>
            </w:r>
            <w:proofErr w:type="spellEnd"/>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ЕЕРП</w:t>
            </w:r>
          </w:p>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w:t>
            </w:r>
            <w:r w:rsidRPr="00055F2E">
              <w:rPr>
                <w:rFonts w:ascii="Times New Roman" w:eastAsia="Times New Roman" w:hAnsi="Times New Roman" w:cs="Times New Roman"/>
                <w:sz w:val="18"/>
                <w:szCs w:val="18"/>
                <w:lang w:val="en-US" w:eastAsia="ru-RU"/>
              </w:rPr>
              <w:t>D</w:t>
            </w:r>
            <w:r w:rsidRPr="00055F2E">
              <w:rPr>
                <w:rFonts w:ascii="Times New Roman" w:eastAsia="Times New Roman" w:hAnsi="Times New Roman" w:cs="Times New Roman"/>
                <w:sz w:val="18"/>
                <w:szCs w:val="18"/>
                <w:lang w:val="uk-UA" w:eastAsia="ru-RU"/>
              </w:rPr>
              <w:t>)</w:t>
            </w:r>
          </w:p>
        </w:tc>
      </w:tr>
      <w:tr w:rsidR="00055F2E" w:rsidRPr="00055F2E" w:rsidTr="004956C5">
        <w:trPr>
          <w:trHeight w:val="182"/>
          <w:jc w:val="center"/>
        </w:trPr>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w:t>
            </w:r>
          </w:p>
        </w:tc>
        <w:tc>
          <w:tcPr>
            <w:tcW w:w="1306" w:type="dxa"/>
          </w:tcPr>
          <w:p w:rsidR="00055F2E" w:rsidRPr="00055F2E" w:rsidRDefault="00055F2E" w:rsidP="00055F2E">
            <w:pPr>
              <w:spacing w:after="0" w:line="240" w:lineRule="auto"/>
              <w:jc w:val="center"/>
              <w:rPr>
                <w:rFonts w:ascii="Times New Roman" w:eastAsia="Times New Roman" w:hAnsi="Times New Roman" w:cs="Times New Roman"/>
                <w:sz w:val="18"/>
                <w:szCs w:val="18"/>
                <w:lang w:val="en-US" w:eastAsia="ru-RU"/>
              </w:rPr>
            </w:pPr>
            <w:r w:rsidRPr="00055F2E">
              <w:rPr>
                <w:rFonts w:ascii="Times New Roman" w:eastAsia="Times New Roman" w:hAnsi="Times New Roman" w:cs="Times New Roman"/>
                <w:sz w:val="18"/>
                <w:szCs w:val="18"/>
                <w:lang w:val="en-US" w:eastAsia="ru-RU"/>
              </w:rPr>
              <w:t>2</w:t>
            </w:r>
          </w:p>
        </w:tc>
        <w:tc>
          <w:tcPr>
            <w:tcW w:w="1734" w:type="dxa"/>
          </w:tcPr>
          <w:p w:rsidR="00055F2E" w:rsidRPr="00055F2E" w:rsidRDefault="00055F2E" w:rsidP="00055F2E">
            <w:pPr>
              <w:spacing w:after="0" w:line="240" w:lineRule="auto"/>
              <w:jc w:val="center"/>
              <w:rPr>
                <w:rFonts w:ascii="Times New Roman" w:eastAsia="Times New Roman" w:hAnsi="Times New Roman" w:cs="Times New Roman"/>
                <w:sz w:val="18"/>
                <w:szCs w:val="18"/>
                <w:lang w:val="en-US" w:eastAsia="ru-RU"/>
              </w:rPr>
            </w:pPr>
            <w:r w:rsidRPr="00055F2E">
              <w:rPr>
                <w:rFonts w:ascii="Times New Roman" w:eastAsia="Times New Roman" w:hAnsi="Times New Roman" w:cs="Times New Roman"/>
                <w:sz w:val="18"/>
                <w:szCs w:val="18"/>
                <w:lang w:val="en-US" w:eastAsia="ru-RU"/>
              </w:rPr>
              <w:t>3</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5</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6</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7</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8</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9</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en-US" w:eastAsia="ru-RU"/>
              </w:rPr>
              <w:t>1</w:t>
            </w:r>
            <w:r w:rsidRPr="00055F2E">
              <w:rPr>
                <w:rFonts w:ascii="Times New Roman" w:eastAsia="Times New Roman" w:hAnsi="Times New Roman" w:cs="Times New Roman"/>
                <w:sz w:val="18"/>
                <w:szCs w:val="18"/>
                <w:lang w:val="uk-UA" w:eastAsia="ru-RU"/>
              </w:rPr>
              <w:t>0</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en-US" w:eastAsia="ru-RU"/>
              </w:rPr>
              <w:t>1</w:t>
            </w:r>
            <w:r w:rsidRPr="00055F2E">
              <w:rPr>
                <w:rFonts w:ascii="Times New Roman" w:eastAsia="Times New Roman" w:hAnsi="Times New Roman" w:cs="Times New Roman"/>
                <w:sz w:val="18"/>
                <w:szCs w:val="18"/>
                <w:lang w:val="uk-UA" w:eastAsia="ru-RU"/>
              </w:rPr>
              <w:t>1</w:t>
            </w:r>
          </w:p>
        </w:tc>
        <w:tc>
          <w:tcPr>
            <w:tcW w:w="0" w:type="auto"/>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en-US" w:eastAsia="ru-RU"/>
              </w:rPr>
              <w:t>1</w:t>
            </w:r>
            <w:r w:rsidRPr="00055F2E">
              <w:rPr>
                <w:rFonts w:ascii="Times New Roman" w:eastAsia="Times New Roman" w:hAnsi="Times New Roman" w:cs="Times New Roman"/>
                <w:sz w:val="18"/>
                <w:szCs w:val="18"/>
                <w:lang w:val="uk-UA" w:eastAsia="ru-RU"/>
              </w:rPr>
              <w:t>2</w:t>
            </w:r>
          </w:p>
        </w:tc>
      </w:tr>
      <w:tr w:rsidR="00055F2E" w:rsidRPr="00055F2E" w:rsidTr="004956C5">
        <w:trPr>
          <w:trHeight w:val="331"/>
          <w:jc w:val="center"/>
        </w:trPr>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1306" w:type="dxa"/>
            <w:vAlign w:val="center"/>
          </w:tcPr>
          <w:p w:rsidR="00055F2E" w:rsidRPr="00055F2E" w:rsidRDefault="00055F2E" w:rsidP="00055F2E">
            <w:pPr>
              <w:spacing w:after="0"/>
              <w:jc w:val="center"/>
              <w:rPr>
                <w:rFonts w:ascii="Times New Roman" w:eastAsia="Times New Roman" w:hAnsi="Times New Roman" w:cs="Times New Roman"/>
                <w:b/>
                <w:sz w:val="18"/>
                <w:szCs w:val="18"/>
                <w:lang w:val="en-US" w:eastAsia="uk-UA"/>
              </w:rPr>
            </w:pPr>
          </w:p>
        </w:tc>
        <w:tc>
          <w:tcPr>
            <w:tcW w:w="1734" w:type="dxa"/>
            <w:vAlign w:val="center"/>
          </w:tcPr>
          <w:p w:rsidR="00055F2E" w:rsidRPr="00055F2E" w:rsidRDefault="00055F2E" w:rsidP="00055F2E">
            <w:pPr>
              <w:spacing w:after="0"/>
              <w:jc w:val="center"/>
              <w:rPr>
                <w:rFonts w:ascii="Times New Roman" w:eastAsia="Times New Roman" w:hAnsi="Times New Roman" w:cs="Times New Roman"/>
                <w:b/>
                <w:sz w:val="18"/>
                <w:szCs w:val="18"/>
                <w:lang w:val="en-US" w:eastAsia="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en-US"/>
              </w:rPr>
            </w:pPr>
          </w:p>
        </w:tc>
        <w:tc>
          <w:tcPr>
            <w:tcW w:w="0" w:type="auto"/>
          </w:tcPr>
          <w:p w:rsidR="00055F2E" w:rsidRPr="00055F2E" w:rsidRDefault="00055F2E" w:rsidP="00055F2E">
            <w:pPr>
              <w:spacing w:after="0"/>
              <w:jc w:val="center"/>
              <w:rPr>
                <w:rFonts w:ascii="Times New Roman" w:eastAsia="Times New Roman" w:hAnsi="Times New Roman" w:cs="Times New Roman"/>
                <w:sz w:val="18"/>
                <w:szCs w:val="18"/>
                <w:lang w:val="uk-UA"/>
              </w:rPr>
            </w:pPr>
          </w:p>
        </w:tc>
      </w:tr>
      <w:tr w:rsidR="00055F2E" w:rsidRPr="00055F2E" w:rsidTr="004956C5">
        <w:trPr>
          <w:trHeight w:val="331"/>
          <w:jc w:val="center"/>
        </w:trPr>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1306" w:type="dxa"/>
            <w:vAlign w:val="center"/>
          </w:tcPr>
          <w:p w:rsidR="00055F2E" w:rsidRPr="00055F2E" w:rsidRDefault="00055F2E" w:rsidP="00055F2E">
            <w:pPr>
              <w:spacing w:after="0"/>
              <w:jc w:val="center"/>
              <w:rPr>
                <w:rFonts w:ascii="Times New Roman" w:eastAsia="Times New Roman" w:hAnsi="Times New Roman" w:cs="Times New Roman"/>
                <w:b/>
                <w:sz w:val="18"/>
                <w:szCs w:val="18"/>
                <w:lang w:val="en-US" w:eastAsia="uk-UA"/>
              </w:rPr>
            </w:pPr>
          </w:p>
        </w:tc>
        <w:tc>
          <w:tcPr>
            <w:tcW w:w="1734" w:type="dxa"/>
            <w:vAlign w:val="center"/>
          </w:tcPr>
          <w:p w:rsidR="00055F2E" w:rsidRPr="00055F2E" w:rsidRDefault="00055F2E" w:rsidP="00055F2E">
            <w:pPr>
              <w:spacing w:after="0"/>
              <w:jc w:val="center"/>
              <w:rPr>
                <w:rFonts w:ascii="Times New Roman" w:eastAsia="Times New Roman" w:hAnsi="Times New Roman" w:cs="Times New Roman"/>
                <w:b/>
                <w:sz w:val="18"/>
                <w:szCs w:val="18"/>
                <w:lang w:val="uk-UA" w:eastAsia="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b/>
                <w:sz w:val="18"/>
                <w:szCs w:val="18"/>
                <w:lang w:val="uk-UA"/>
              </w:rPr>
            </w:pPr>
          </w:p>
        </w:tc>
        <w:tc>
          <w:tcPr>
            <w:tcW w:w="0" w:type="auto"/>
          </w:tcPr>
          <w:p w:rsidR="00055F2E" w:rsidRPr="00055F2E" w:rsidRDefault="00055F2E" w:rsidP="00055F2E">
            <w:pPr>
              <w:spacing w:after="0"/>
              <w:jc w:val="center"/>
              <w:rPr>
                <w:rFonts w:ascii="Times New Roman" w:eastAsia="Times New Roman" w:hAnsi="Times New Roman" w:cs="Times New Roman"/>
                <w:sz w:val="18"/>
                <w:szCs w:val="18"/>
                <w:lang w:val="en-US"/>
              </w:rPr>
            </w:pPr>
          </w:p>
        </w:tc>
      </w:tr>
    </w:tbl>
    <w:p w:rsidR="00055F2E" w:rsidRPr="00055F2E" w:rsidRDefault="00055F2E" w:rsidP="00055F2E">
      <w:pPr>
        <w:tabs>
          <w:tab w:val="left" w:pos="709"/>
        </w:tabs>
        <w:spacing w:after="0" w:line="240" w:lineRule="auto"/>
        <w:ind w:left="7371" w:firstLine="709"/>
        <w:contextualSpacing/>
        <w:jc w:val="both"/>
        <w:rPr>
          <w:rFonts w:ascii="Times New Roman" w:eastAsia="Times New Roman" w:hAnsi="Times New Roman" w:cs="Times New Roman"/>
          <w:sz w:val="18"/>
          <w:szCs w:val="18"/>
          <w:lang w:val="uk-UA" w:eastAsia="ru-RU"/>
        </w:rPr>
      </w:pPr>
      <w:proofErr w:type="spellStart"/>
      <w:r w:rsidRPr="00055F2E">
        <w:rPr>
          <w:rFonts w:ascii="Times New Roman" w:eastAsia="Times New Roman" w:hAnsi="Times New Roman" w:cs="Times New Roman"/>
          <w:b/>
          <w:bCs/>
          <w:i/>
          <w:iCs/>
          <w:sz w:val="18"/>
          <w:szCs w:val="18"/>
          <w:lang w:val="uk-UA" w:eastAsia="ru-RU"/>
        </w:rPr>
        <w:t>D</w:t>
      </w:r>
      <w:r w:rsidRPr="00055F2E">
        <w:rPr>
          <w:rFonts w:ascii="Times New Roman" w:eastAsia="Times New Roman" w:hAnsi="Times New Roman" w:cs="Times New Roman"/>
          <w:b/>
          <w:bCs/>
          <w:i/>
          <w:iCs/>
          <w:sz w:val="18"/>
          <w:szCs w:val="18"/>
          <w:vertAlign w:val="subscript"/>
          <w:lang w:val="uk-UA" w:eastAsia="ru-RU"/>
        </w:rPr>
        <w:t>ср</w:t>
      </w:r>
      <w:proofErr w:type="spellEnd"/>
      <w:r w:rsidRPr="00055F2E">
        <w:rPr>
          <w:rFonts w:ascii="Times New Roman" w:eastAsia="Times New Roman" w:hAnsi="Times New Roman" w:cs="Times New Roman"/>
          <w:b/>
          <w:sz w:val="18"/>
          <w:szCs w:val="18"/>
          <w:lang w:val="uk-UA" w:eastAsia="ru-RU"/>
        </w:rPr>
        <w:t xml:space="preserve"> =</w:t>
      </w:r>
      <w:r w:rsidRPr="00055F2E">
        <w:rPr>
          <w:rFonts w:ascii="Times New Roman" w:eastAsia="Times New Roman" w:hAnsi="Times New Roman" w:cs="Times New Roman"/>
          <w:sz w:val="18"/>
          <w:szCs w:val="18"/>
          <w:lang w:val="uk-UA" w:eastAsia="ru-RU"/>
        </w:rPr>
        <w:t xml:space="preserve"> </w:t>
      </w:r>
      <w:r w:rsidRPr="00055F2E">
        <w:rPr>
          <w:rFonts w:ascii="Times New Roman" w:eastAsia="Times New Roman" w:hAnsi="Times New Roman" w:cs="Times New Roman"/>
          <w:sz w:val="18"/>
          <w:szCs w:val="18"/>
          <w:lang w:val="uk-UA"/>
        </w:rPr>
        <w:t>________</w:t>
      </w:r>
    </w:p>
    <w:p w:rsidR="00055F2E" w:rsidRPr="00055F2E" w:rsidRDefault="00055F2E" w:rsidP="00055F2E">
      <w:pPr>
        <w:spacing w:after="0" w:line="240" w:lineRule="auto"/>
        <w:jc w:val="both"/>
        <w:rPr>
          <w:rFonts w:ascii="Times New Roman" w:eastAsia="Times New Roman" w:hAnsi="Times New Roman" w:cs="Times New Roman"/>
          <w:sz w:val="18"/>
          <w:szCs w:val="18"/>
          <w:u w:val="single"/>
          <w:lang w:val="uk-UA" w:eastAsia="ru-RU"/>
        </w:rPr>
      </w:pPr>
      <w:r w:rsidRPr="00055F2E">
        <w:rPr>
          <w:rFonts w:ascii="Times New Roman" w:eastAsia="Times New Roman" w:hAnsi="Times New Roman" w:cs="Times New Roman"/>
          <w:b/>
          <w:sz w:val="18"/>
          <w:szCs w:val="18"/>
          <w:u w:val="single"/>
          <w:lang w:val="uk-UA" w:eastAsia="ru-RU"/>
        </w:rPr>
        <w:t>Примітка</w:t>
      </w:r>
      <w:r w:rsidRPr="00055F2E">
        <w:rPr>
          <w:rFonts w:ascii="Times New Roman" w:eastAsia="Times New Roman" w:hAnsi="Times New Roman" w:cs="Times New Roman"/>
          <w:sz w:val="18"/>
          <w:szCs w:val="18"/>
          <w:u w:val="single"/>
          <w:lang w:val="uk-UA" w:eastAsia="ru-RU"/>
        </w:rPr>
        <w:t>: колонки 2, 3, як правило, є текстовим і чисельним ідентифікатором точки вимірювання; в колонках 4 – 7 вказуються ознаки наявності ("+"/"–") відповідних типів засобів вимірювання: споживання активної і реактивної електроенергії (</w:t>
      </w:r>
      <w:r w:rsidRPr="00055F2E">
        <w:rPr>
          <w:rFonts w:ascii="Times New Roman" w:eastAsia="Times New Roman" w:hAnsi="Times New Roman" w:cs="Times New Roman"/>
          <w:sz w:val="18"/>
          <w:szCs w:val="18"/>
          <w:u w:val="single"/>
          <w:lang w:val="en-US" w:eastAsia="ru-RU"/>
        </w:rPr>
        <w:t>A</w:t>
      </w:r>
      <w:r w:rsidRPr="00055F2E">
        <w:rPr>
          <w:rFonts w:ascii="Times New Roman" w:eastAsia="Times New Roman" w:hAnsi="Times New Roman" w:cs="Times New Roman"/>
          <w:sz w:val="18"/>
          <w:szCs w:val="18"/>
          <w:u w:val="single"/>
          <w:vertAlign w:val="superscript"/>
          <w:lang w:val="uk-UA" w:eastAsia="ru-RU"/>
        </w:rPr>
        <w:t>+</w:t>
      </w:r>
      <w:r w:rsidRPr="00055F2E">
        <w:rPr>
          <w:rFonts w:ascii="Times New Roman" w:eastAsia="Times New Roman" w:hAnsi="Times New Roman" w:cs="Times New Roman"/>
          <w:sz w:val="18"/>
          <w:szCs w:val="18"/>
          <w:u w:val="single"/>
          <w:lang w:val="uk-UA" w:eastAsia="ru-RU"/>
        </w:rPr>
        <w:t>, Р</w:t>
      </w:r>
      <w:r w:rsidRPr="00055F2E">
        <w:rPr>
          <w:rFonts w:ascii="Times New Roman" w:eastAsia="Times New Roman" w:hAnsi="Times New Roman" w:cs="Times New Roman"/>
          <w:sz w:val="18"/>
          <w:szCs w:val="18"/>
          <w:u w:val="single"/>
          <w:vertAlign w:val="superscript"/>
          <w:lang w:val="uk-UA" w:eastAsia="ru-RU"/>
        </w:rPr>
        <w:t>+</w:t>
      </w:r>
      <w:r w:rsidRPr="00055F2E">
        <w:rPr>
          <w:rFonts w:ascii="Times New Roman" w:eastAsia="Times New Roman" w:hAnsi="Times New Roman" w:cs="Times New Roman"/>
          <w:sz w:val="18"/>
          <w:szCs w:val="18"/>
          <w:u w:val="single"/>
          <w:lang w:val="uk-UA" w:eastAsia="ru-RU"/>
        </w:rPr>
        <w:t>), генерації активної і реактивної електроенергії (</w:t>
      </w:r>
      <w:r w:rsidRPr="00055F2E">
        <w:rPr>
          <w:rFonts w:ascii="Times New Roman" w:eastAsia="Times New Roman" w:hAnsi="Times New Roman" w:cs="Times New Roman"/>
          <w:sz w:val="18"/>
          <w:szCs w:val="18"/>
          <w:u w:val="single"/>
          <w:lang w:val="en-US" w:eastAsia="ru-RU"/>
        </w:rPr>
        <w:t>A</w:t>
      </w:r>
      <w:r w:rsidRPr="00055F2E">
        <w:rPr>
          <w:rFonts w:ascii="Times New Roman" w:eastAsia="Times New Roman" w:hAnsi="Times New Roman" w:cs="Times New Roman"/>
          <w:sz w:val="18"/>
          <w:szCs w:val="18"/>
          <w:u w:val="single"/>
          <w:vertAlign w:val="superscript"/>
          <w:lang w:val="uk-UA" w:eastAsia="ru-RU"/>
        </w:rPr>
        <w:t>–</w:t>
      </w:r>
      <w:r w:rsidRPr="00055F2E">
        <w:rPr>
          <w:rFonts w:ascii="Times New Roman" w:eastAsia="Times New Roman" w:hAnsi="Times New Roman" w:cs="Times New Roman"/>
          <w:sz w:val="18"/>
          <w:szCs w:val="18"/>
          <w:u w:val="single"/>
          <w:lang w:val="uk-UA" w:eastAsia="ru-RU"/>
        </w:rPr>
        <w:t>, Р</w:t>
      </w:r>
      <w:r w:rsidRPr="00055F2E">
        <w:rPr>
          <w:rFonts w:ascii="Times New Roman" w:eastAsia="Times New Roman" w:hAnsi="Times New Roman" w:cs="Times New Roman"/>
          <w:sz w:val="18"/>
          <w:szCs w:val="18"/>
          <w:u w:val="single"/>
          <w:vertAlign w:val="superscript"/>
          <w:lang w:val="uk-UA" w:eastAsia="ru-RU"/>
        </w:rPr>
        <w:t>–</w:t>
      </w:r>
      <w:r w:rsidRPr="00055F2E">
        <w:rPr>
          <w:rFonts w:ascii="Times New Roman" w:eastAsia="Times New Roman" w:hAnsi="Times New Roman" w:cs="Times New Roman"/>
          <w:sz w:val="18"/>
          <w:szCs w:val="18"/>
          <w:u w:val="single"/>
          <w:lang w:val="uk-UA" w:eastAsia="ru-RU"/>
        </w:rPr>
        <w:t>); в колонці 8 вказується ознака наявності ("+"/"–") вимірювання генерації реактивної електроенергії в зоні нічного провалу добового графіку; в колонках 10, 11 вказуються активне і реактивне навантаження точки вимірювання, що використане для розрахунку ЕЕРП; в колонках 9, 12 вказуються точка розрахунку і значення ЕЕРП.</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8. Значення ЕЕРП розраховуються за допомогою сертифікованого програмного комплексу КВАРЕМ або інших програмних комплексів, сумісних з ним за функціональними можливостями.</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9. Обчислення ЕЕРП виконується Оператора системи згідно з порядком, встановленим Методикою. При проведенні перерахунків ЕЕРП Оператора системи письмовим повідомленням доводить до відома Споживача нові значення ЕЕРП . Дане повідомлення є невід’ємною частиною договору.</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10. Активна і реактивна потужність навантаження в точках вимірювання споживача для розрахунку ЕЕРП визначається за режимом максимального навантаження об'єкта споживача (зимові або літні режимні виміри, розрахункові значення за максимальним обсягом споживання, розрахункове завантаження трансформатора, дозволена потужність тощо). За відсутності даних про реактивну потужність використовується тангенс навантаження – 0,5.</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11. Оплата за звітний розрахунковий період здійснюється, якщо споживання або генерація реактивної електроенергії за об'єктом споживача становить 1000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 xml:space="preserve"> і більше (за відсутності відповідних засобів обліку реактивної електроенергії ці величини визначаються розрахунковим шляхом).</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12. Споживання реактивної і активної електроенергії об’єкта споживача за розрахунковий період обчислюється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vertAlign w:val="subscript"/>
          <w:lang w:val="uk-UA" w:eastAsia="ru-RU"/>
        </w:rPr>
        <w:t>(О)</w:t>
      </w:r>
      <w:r w:rsidRPr="00055F2E">
        <w:rPr>
          <w:rFonts w:ascii="Times New Roman" w:eastAsia="Times New Roman" w:hAnsi="Times New Roman" w:cs="Times New Roman"/>
          <w:sz w:val="18"/>
          <w:szCs w:val="18"/>
          <w:lang w:val="uk-UA" w:eastAsia="ru-RU"/>
        </w:rPr>
        <w:t xml:space="preserve"> =</w:t>
      </w:r>
      <w:r w:rsidRPr="00055F2E">
        <w:rPr>
          <w:rFonts w:ascii="Times New Roman" w:eastAsia="Times New Roman" w:hAnsi="Times New Roman" w:cs="Times New Roman"/>
          <w:position w:val="-36"/>
          <w:sz w:val="18"/>
          <w:szCs w:val="18"/>
          <w:lang w:val="uk-UA" w:eastAsia="ru-RU"/>
        </w:rPr>
        <w:object w:dxaOrig="26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2.75pt" o:ole="">
            <v:imagedata r:id="rId5" o:title=""/>
          </v:shape>
          <o:OLEObject Type="Embed" ProgID="Equation.DSMT4" ShapeID="_x0000_i1025" DrawAspect="Content" ObjectID="_1819801135" r:id="rId6"/>
        </w:object>
      </w: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(О) &lt; 0, то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(О) = 0,</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vertAlign w:val="subscript"/>
          <w:lang w:val="uk-UA" w:eastAsia="ru-RU"/>
        </w:rPr>
        <w:t>(О)</w:t>
      </w:r>
      <w:r w:rsidRPr="00055F2E">
        <w:rPr>
          <w:rFonts w:ascii="Times New Roman" w:eastAsia="Times New Roman" w:hAnsi="Times New Roman" w:cs="Times New Roman"/>
          <w:sz w:val="18"/>
          <w:szCs w:val="18"/>
          <w:lang w:val="uk-UA" w:eastAsia="ru-RU"/>
        </w:rPr>
        <w:t xml:space="preserve"> = </w:t>
      </w:r>
      <w:r w:rsidRPr="00055F2E">
        <w:rPr>
          <w:rFonts w:ascii="Times New Roman" w:eastAsia="Times New Roman" w:hAnsi="Times New Roman" w:cs="Times New Roman"/>
          <w:position w:val="-36"/>
          <w:sz w:val="18"/>
          <w:szCs w:val="18"/>
          <w:lang w:val="uk-UA" w:eastAsia="ru-RU"/>
        </w:rPr>
        <w:object w:dxaOrig="2600" w:dyaOrig="840">
          <v:shape id="_x0000_i1026" type="#_x0000_t75" style="width:129.75pt;height:42.75pt" o:ole="">
            <v:imagedata r:id="rId7" o:title=""/>
          </v:shape>
          <o:OLEObject Type="Embed" ProgID="Equation.DSMT4" ShapeID="_x0000_i1026" DrawAspect="Content" ObjectID="_1819801136" r:id="rId8"/>
        </w:object>
      </w: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&lt; 0, то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(О) = 0,</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w:t>
      </w:r>
      <w:r w:rsidRPr="00055F2E">
        <w:rPr>
          <w:rFonts w:ascii="Times New Roman" w:eastAsia="Times New Roman" w:hAnsi="Times New Roman" w:cs="Times New Roman"/>
          <w:sz w:val="18"/>
          <w:szCs w:val="18"/>
          <w:lang w:val="uk-UA" w:eastAsia="ru-RU"/>
        </w:rPr>
        <w:tab/>
        <w:t>– розрахункові значення споживання реактивної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 і активної (</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 електроенергії об'єкта споживача за розрахунковий період;</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i, j</w:t>
      </w:r>
      <w:r w:rsidRPr="00055F2E">
        <w:rPr>
          <w:rFonts w:ascii="Times New Roman" w:eastAsia="Times New Roman" w:hAnsi="Times New Roman" w:cs="Times New Roman"/>
          <w:sz w:val="18"/>
          <w:szCs w:val="18"/>
          <w:lang w:val="uk-UA" w:eastAsia="ru-RU"/>
        </w:rPr>
        <w:tab/>
        <w:t>– відповідно індекси вхідних і транзитних точок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KV, KT – відповідно кількість вхідних і транзитних точок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(+)i,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(+)i</w:t>
      </w:r>
      <w:r w:rsidRPr="00055F2E">
        <w:rPr>
          <w:rFonts w:ascii="Times New Roman" w:eastAsia="Times New Roman" w:hAnsi="Times New Roman" w:cs="Times New Roman"/>
          <w:sz w:val="18"/>
          <w:szCs w:val="18"/>
          <w:lang w:val="uk-UA" w:eastAsia="ru-RU"/>
        </w:rPr>
        <w:tab/>
        <w:t>– обсяги споживання реактивної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 і активної (</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 електроенергії за розрахунковий період i-ї вхідної точки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(–)j,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(–)j</w:t>
      </w:r>
      <w:r w:rsidRPr="00055F2E">
        <w:rPr>
          <w:rFonts w:ascii="Times New Roman" w:eastAsia="Times New Roman" w:hAnsi="Times New Roman" w:cs="Times New Roman"/>
          <w:sz w:val="18"/>
          <w:szCs w:val="18"/>
          <w:lang w:val="uk-UA" w:eastAsia="ru-RU"/>
        </w:rPr>
        <w:tab/>
        <w:t>– обсяги споживання реактивної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 і активної (</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 електроенергії за розрахунковий період j-ї транзитної точки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13. За відсутності у вхідній точці вимірювання засобу обліку споживання реактивної електроенергії розрахункове споживання реактивної електроенергії  обчислюється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 =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w:t>
      </w:r>
      <w:proofErr w:type="spellStart"/>
      <w:r w:rsidRPr="00055F2E">
        <w:rPr>
          <w:rFonts w:ascii="Times New Roman" w:eastAsia="Times New Roman" w:hAnsi="Times New Roman" w:cs="Times New Roman"/>
          <w:sz w:val="18"/>
          <w:szCs w:val="18"/>
          <w:lang w:val="uk-UA" w:eastAsia="ru-RU"/>
        </w:rPr>
        <w:t>tgφН</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tgφН</w:t>
      </w:r>
      <w:proofErr w:type="spellEnd"/>
      <w:r w:rsidRPr="00055F2E">
        <w:rPr>
          <w:rFonts w:ascii="Times New Roman" w:eastAsia="Times New Roman" w:hAnsi="Times New Roman" w:cs="Times New Roman"/>
          <w:sz w:val="18"/>
          <w:szCs w:val="18"/>
          <w:lang w:val="uk-UA" w:eastAsia="ru-RU"/>
        </w:rPr>
        <w:t xml:space="preserve"> – нормативний тангенс навантаження, який дорівнює 0,8.</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14.Фактичний тангенс навантаження об’єкта споживача визначається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(О)/</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якщо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 0, то </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 </w:t>
      </w:r>
      <w:proofErr w:type="spellStart"/>
      <w:r w:rsidRPr="00055F2E">
        <w:rPr>
          <w:rFonts w:ascii="Times New Roman" w:eastAsia="Times New Roman" w:hAnsi="Times New Roman" w:cs="Times New Roman"/>
          <w:sz w:val="18"/>
          <w:szCs w:val="18"/>
          <w:lang w:val="uk-UA" w:eastAsia="ru-RU"/>
        </w:rPr>
        <w:t>tgφН</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де значення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визначаються згідно п.15 цього додатку з </w:t>
      </w:r>
      <w:proofErr w:type="spellStart"/>
      <w:r w:rsidRPr="00055F2E">
        <w:rPr>
          <w:rFonts w:ascii="Times New Roman" w:eastAsia="Times New Roman" w:hAnsi="Times New Roman" w:cs="Times New Roman"/>
          <w:sz w:val="18"/>
          <w:szCs w:val="18"/>
          <w:lang w:val="uk-UA" w:eastAsia="ru-RU"/>
        </w:rPr>
        <w:t>враховуванням</w:t>
      </w:r>
      <w:proofErr w:type="spellEnd"/>
      <w:r w:rsidRPr="00055F2E">
        <w:rPr>
          <w:rFonts w:ascii="Times New Roman" w:eastAsia="Times New Roman" w:hAnsi="Times New Roman" w:cs="Times New Roman"/>
          <w:sz w:val="18"/>
          <w:szCs w:val="18"/>
          <w:lang w:val="uk-UA" w:eastAsia="ru-RU"/>
        </w:rPr>
        <w:t xml:space="preserve"> обсягів споживання активної і реактивної електроенергії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 за всіма вхідними точками вимірювання, у тому числі визначені розрахунковим шляхом згідно п.16 цього Додатку, а транзитні обсяги споживання активної і реактивної електроенергії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 </w:t>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враховуються тільки в точках вимірювання, де наявні засоби обліку споживання реактивної електроенергії.</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15. Якщо на об'єкті споживача встановлено генераторні пристрої, що не є окремими вхідними точками вимірювання (блок-станції, </w:t>
      </w:r>
      <w:proofErr w:type="spellStart"/>
      <w:r w:rsidRPr="00055F2E">
        <w:rPr>
          <w:rFonts w:ascii="Times New Roman" w:eastAsia="Times New Roman" w:hAnsi="Times New Roman" w:cs="Times New Roman"/>
          <w:sz w:val="18"/>
          <w:szCs w:val="18"/>
          <w:lang w:val="uk-UA" w:eastAsia="ru-RU"/>
        </w:rPr>
        <w:t>когенераційні</w:t>
      </w:r>
      <w:proofErr w:type="spellEnd"/>
      <w:r w:rsidRPr="00055F2E">
        <w:rPr>
          <w:rFonts w:ascii="Times New Roman" w:eastAsia="Times New Roman" w:hAnsi="Times New Roman" w:cs="Times New Roman"/>
          <w:sz w:val="18"/>
          <w:szCs w:val="18"/>
          <w:lang w:val="uk-UA" w:eastAsia="ru-RU"/>
        </w:rPr>
        <w:t xml:space="preserve"> установки, дизельні генератори тощо), то фактичний тангенс навантаження об’єкта споживача визначається з урахуванням значення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(О), що розраховане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noProof/>
          <w:sz w:val="18"/>
          <w:szCs w:val="18"/>
          <w:lang w:val="uk-UA" w:eastAsia="uk-UA"/>
        </w:rPr>
        <w:drawing>
          <wp:inline distT="0" distB="0" distL="0" distR="0">
            <wp:extent cx="3615055" cy="467995"/>
            <wp:effectExtent l="0" t="0" r="444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5055" cy="467995"/>
                    </a:xfrm>
                    <a:prstGeom prst="rect">
                      <a:avLst/>
                    </a:prstGeom>
                    <a:noFill/>
                    <a:ln>
                      <a:noFill/>
                    </a:ln>
                  </pic:spPr>
                </pic:pic>
              </a:graphicData>
            </a:graphic>
          </wp:inline>
        </w:drawing>
      </w:r>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якщо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xml:space="preserve">(О) &lt; 0, то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(О) = 0,</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де </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WPг</w:t>
      </w:r>
      <w:proofErr w:type="spellEnd"/>
      <w:r w:rsidRPr="00055F2E">
        <w:rPr>
          <w:rFonts w:ascii="Times New Roman" w:eastAsia="Times New Roman" w:hAnsi="Times New Roman" w:cs="Times New Roman"/>
          <w:sz w:val="18"/>
          <w:szCs w:val="18"/>
          <w:lang w:val="uk-UA" w:eastAsia="ru-RU"/>
        </w:rPr>
        <w:t xml:space="preserve">(+)i, </w:t>
      </w:r>
      <w:proofErr w:type="spellStart"/>
      <w:r w:rsidRPr="00055F2E">
        <w:rPr>
          <w:rFonts w:ascii="Times New Roman" w:eastAsia="Times New Roman" w:hAnsi="Times New Roman" w:cs="Times New Roman"/>
          <w:sz w:val="18"/>
          <w:szCs w:val="18"/>
          <w:lang w:val="uk-UA" w:eastAsia="ru-RU"/>
        </w:rPr>
        <w:t>WPг</w:t>
      </w:r>
      <w:proofErr w:type="spellEnd"/>
      <w:r w:rsidRPr="00055F2E">
        <w:rPr>
          <w:rFonts w:ascii="Times New Roman" w:eastAsia="Times New Roman" w:hAnsi="Times New Roman" w:cs="Times New Roman"/>
          <w:sz w:val="18"/>
          <w:szCs w:val="18"/>
          <w:lang w:val="uk-UA" w:eastAsia="ru-RU"/>
        </w:rPr>
        <w:t xml:space="preserve">(–)j – обсяги генерації активної електроенергії i-ї вхідної і j-ї  транзитної точок вимірювання за розрахунковий період, </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s, КG</w:t>
      </w:r>
      <w:r w:rsidRPr="00055F2E">
        <w:rPr>
          <w:rFonts w:ascii="Times New Roman" w:eastAsia="Times New Roman" w:hAnsi="Times New Roman" w:cs="Times New Roman"/>
          <w:sz w:val="18"/>
          <w:szCs w:val="18"/>
          <w:lang w:val="uk-UA" w:eastAsia="ru-RU"/>
        </w:rPr>
        <w:tab/>
      </w:r>
      <w:r w:rsidRPr="00055F2E">
        <w:rPr>
          <w:rFonts w:ascii="Times New Roman" w:eastAsia="Times New Roman" w:hAnsi="Times New Roman" w:cs="Times New Roman"/>
          <w:sz w:val="18"/>
          <w:szCs w:val="18"/>
          <w:lang w:val="uk-UA" w:eastAsia="ru-RU"/>
        </w:rPr>
        <w:tab/>
        <w:t>– індекс і кількість точок вимірювання генераторних пристроїв;</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WPг</w:t>
      </w:r>
      <w:proofErr w:type="spellEnd"/>
      <w:r w:rsidRPr="00055F2E">
        <w:rPr>
          <w:rFonts w:ascii="Times New Roman" w:eastAsia="Times New Roman" w:hAnsi="Times New Roman" w:cs="Times New Roman"/>
          <w:sz w:val="18"/>
          <w:szCs w:val="18"/>
          <w:lang w:val="uk-UA" w:eastAsia="ru-RU"/>
        </w:rPr>
        <w:t xml:space="preserve">(ГП)s </w:t>
      </w:r>
      <w:r w:rsidRPr="00055F2E">
        <w:rPr>
          <w:rFonts w:ascii="Times New Roman" w:eastAsia="Times New Roman" w:hAnsi="Times New Roman" w:cs="Times New Roman"/>
          <w:sz w:val="18"/>
          <w:szCs w:val="18"/>
          <w:lang w:val="uk-UA" w:eastAsia="ru-RU"/>
        </w:rPr>
        <w:tab/>
        <w:t xml:space="preserve">– обсяг генерації активної електроенергії s-ї точки вимірювання генераторного пристрою на об'єкті споживача за розрахунковий період, </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Транзитні обсяги споживання активної електроенергії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 враховуються тільки в точках вимірювання, де наявні засоби обліку споживання реактивної електроенергії.</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16. За відсутності у транзитній точці вимірювання засобу обліку споживання реактивної електроенергії використовується розрахункове споживання реактивної електроенергії, що обчислюється з урахуванням фактичного тангенса навантаження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WQс</w:t>
      </w:r>
      <w:proofErr w:type="spellEnd"/>
      <w:r w:rsidRPr="00055F2E">
        <w:rPr>
          <w:rFonts w:ascii="Times New Roman" w:eastAsia="Times New Roman" w:hAnsi="Times New Roman" w:cs="Times New Roman"/>
          <w:sz w:val="18"/>
          <w:szCs w:val="18"/>
          <w:lang w:val="uk-UA" w:eastAsia="ru-RU"/>
        </w:rPr>
        <w:t xml:space="preserve">(–) = </w:t>
      </w:r>
      <w:proofErr w:type="spellStart"/>
      <w:r w:rsidRPr="00055F2E">
        <w:rPr>
          <w:rFonts w:ascii="Times New Roman" w:eastAsia="Times New Roman" w:hAnsi="Times New Roman" w:cs="Times New Roman"/>
          <w:sz w:val="18"/>
          <w:szCs w:val="18"/>
          <w:lang w:val="uk-UA" w:eastAsia="ru-RU"/>
        </w:rPr>
        <w:t>WPс</w:t>
      </w:r>
      <w:proofErr w:type="spellEnd"/>
      <w:r w:rsidRPr="00055F2E">
        <w:rPr>
          <w:rFonts w:ascii="Times New Roman" w:eastAsia="Times New Roman" w:hAnsi="Times New Roman" w:cs="Times New Roman"/>
          <w:sz w:val="18"/>
          <w:szCs w:val="18"/>
          <w:lang w:val="uk-UA" w:eastAsia="ru-RU"/>
        </w:rPr>
        <w:t>(–)×</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де значення </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обмежено значеннями від нуля до </w:t>
      </w:r>
      <w:proofErr w:type="spellStart"/>
      <w:r w:rsidRPr="00055F2E">
        <w:rPr>
          <w:rFonts w:ascii="Times New Roman" w:eastAsia="Times New Roman" w:hAnsi="Times New Roman" w:cs="Times New Roman"/>
          <w:sz w:val="18"/>
          <w:szCs w:val="18"/>
          <w:lang w:val="uk-UA" w:eastAsia="ru-RU"/>
        </w:rPr>
        <w:t>tgφН</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17. Остаточне значення споживання реактивної електроенергії об’єкта споживача за розрахунковий період визначаються згідно п.15 цього додатку де враховуються обсяги споживання реактивної електроенергії всіх точок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18. Генерація реактивної електроенергії об'єкта споживача за розрахунковий період обчислюється тільки за наявності на його об'єкті або на об'єктах його </w:t>
      </w:r>
      <w:proofErr w:type="spellStart"/>
      <w:r w:rsidRPr="00055F2E">
        <w:rPr>
          <w:rFonts w:ascii="Times New Roman" w:eastAsia="Times New Roman" w:hAnsi="Times New Roman" w:cs="Times New Roman"/>
          <w:sz w:val="18"/>
          <w:szCs w:val="18"/>
          <w:lang w:val="uk-UA" w:eastAsia="ru-RU"/>
        </w:rPr>
        <w:t>субспоживачів</w:t>
      </w:r>
      <w:proofErr w:type="spellEnd"/>
      <w:r w:rsidRPr="00055F2E">
        <w:rPr>
          <w:rFonts w:ascii="Times New Roman" w:eastAsia="Times New Roman" w:hAnsi="Times New Roman" w:cs="Times New Roman"/>
          <w:sz w:val="18"/>
          <w:szCs w:val="18"/>
          <w:lang w:val="uk-UA" w:eastAsia="ru-RU"/>
        </w:rPr>
        <w:t xml:space="preserve"> засобів КРП або пристроїв генерації активної потужності (БСК, СД, СК, СТК, блок-станції, </w:t>
      </w:r>
      <w:proofErr w:type="spellStart"/>
      <w:r w:rsidRPr="00055F2E">
        <w:rPr>
          <w:rFonts w:ascii="Times New Roman" w:eastAsia="Times New Roman" w:hAnsi="Times New Roman" w:cs="Times New Roman"/>
          <w:sz w:val="18"/>
          <w:szCs w:val="18"/>
          <w:lang w:val="uk-UA" w:eastAsia="ru-RU"/>
        </w:rPr>
        <w:t>когенераційні</w:t>
      </w:r>
      <w:proofErr w:type="spellEnd"/>
      <w:r w:rsidRPr="00055F2E">
        <w:rPr>
          <w:rFonts w:ascii="Times New Roman" w:eastAsia="Times New Roman" w:hAnsi="Times New Roman" w:cs="Times New Roman"/>
          <w:sz w:val="18"/>
          <w:szCs w:val="18"/>
          <w:lang w:val="uk-UA" w:eastAsia="ru-RU"/>
        </w:rPr>
        <w:t xml:space="preserve"> установки, дизельні генератори тощо).</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19.За наявності засобів обліку генерації реактивної електроенергії на всіх вхідних точках вимірювання генерація реактивної електроенергії об'єкта споживача за розрахунковий період визначається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noProof/>
          <w:sz w:val="18"/>
          <w:szCs w:val="18"/>
          <w:lang w:val="uk-UA" w:eastAsia="uk-UA"/>
        </w:rPr>
        <w:drawing>
          <wp:inline distT="0" distB="0" distL="0" distR="0">
            <wp:extent cx="2041525" cy="3937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1525" cy="393700"/>
                    </a:xfrm>
                    <a:prstGeom prst="rect">
                      <a:avLst/>
                    </a:prstGeom>
                    <a:noFill/>
                    <a:ln>
                      <a:noFill/>
                    </a:ln>
                  </pic:spPr>
                </pic:pic>
              </a:graphicData>
            </a:graphic>
          </wp:inline>
        </w:drawing>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 xml:space="preserve">(О) &lt; 0, то </w:t>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(О) = 0,</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(О)</w:t>
      </w:r>
      <w:r w:rsidRPr="00055F2E">
        <w:rPr>
          <w:rFonts w:ascii="Times New Roman" w:eastAsia="Times New Roman" w:hAnsi="Times New Roman" w:cs="Times New Roman"/>
          <w:sz w:val="18"/>
          <w:szCs w:val="18"/>
          <w:lang w:val="uk-UA" w:eastAsia="ru-RU"/>
        </w:rPr>
        <w:tab/>
        <w:t xml:space="preserve">– розрахункове значення генерації реактивної електроенергії об'єкта споживача за розрахунковий період,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(+)i</w:t>
      </w:r>
      <w:r w:rsidRPr="00055F2E">
        <w:rPr>
          <w:rFonts w:ascii="Times New Roman" w:eastAsia="Times New Roman" w:hAnsi="Times New Roman" w:cs="Times New Roman"/>
          <w:sz w:val="18"/>
          <w:szCs w:val="18"/>
          <w:lang w:val="uk-UA" w:eastAsia="ru-RU"/>
        </w:rPr>
        <w:tab/>
        <w:t xml:space="preserve">– обсяг генерації реактивної електроенергії i-ї вхідної точки вимірювання за розрахунковий період,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 xml:space="preserve">; </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(–)j</w:t>
      </w:r>
      <w:r w:rsidRPr="00055F2E">
        <w:rPr>
          <w:rFonts w:ascii="Times New Roman" w:eastAsia="Times New Roman" w:hAnsi="Times New Roman" w:cs="Times New Roman"/>
          <w:sz w:val="18"/>
          <w:szCs w:val="18"/>
          <w:lang w:val="uk-UA" w:eastAsia="ru-RU"/>
        </w:rPr>
        <w:tab/>
        <w:t xml:space="preserve">– обсяг генерації реактивної електроенергії j-ї транзитної точки вимірювання за розрахунковий період, де наявні засоби обліку генерації реактивної електроенергії, </w:t>
      </w:r>
      <w:proofErr w:type="spellStart"/>
      <w:r w:rsidRPr="00055F2E">
        <w:rPr>
          <w:rFonts w:ascii="Times New Roman" w:eastAsia="Times New Roman" w:hAnsi="Times New Roman" w:cs="Times New Roman"/>
          <w:sz w:val="18"/>
          <w:szCs w:val="18"/>
          <w:lang w:val="uk-UA" w:eastAsia="ru-RU"/>
        </w:rPr>
        <w:t>кВАр∙год</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Для розрахунку використовуються обсяги генерації реактивної електроенергії в зоні нічного провалу добового графіка за умови наявності такого обліку в усіх точках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20. За відсутності хоча б в одній вхідній точці вимірювання засобу обліку генерації реактивної електроенергії обсяг генерації реактивної електроенергії об'єкта споживача визначається розрахунковим шляхом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b/>
          <w:sz w:val="24"/>
          <w:szCs w:val="24"/>
          <w:lang w:val="uk-UA" w:eastAsia="ru-RU"/>
        </w:rPr>
      </w:pPr>
      <w:proofErr w:type="spellStart"/>
      <w:r w:rsidRPr="00055F2E">
        <w:rPr>
          <w:rFonts w:ascii="Times New Roman" w:eastAsia="Times New Roman" w:hAnsi="Times New Roman" w:cs="Times New Roman"/>
          <w:b/>
          <w:sz w:val="24"/>
          <w:szCs w:val="24"/>
          <w:lang w:val="uk-UA" w:eastAsia="ru-RU"/>
        </w:rPr>
        <w:t>WQг</w:t>
      </w:r>
      <w:proofErr w:type="spellEnd"/>
      <w:r w:rsidRPr="00055F2E">
        <w:rPr>
          <w:rFonts w:ascii="Times New Roman" w:eastAsia="Times New Roman" w:hAnsi="Times New Roman" w:cs="Times New Roman"/>
          <w:b/>
          <w:sz w:val="24"/>
          <w:szCs w:val="24"/>
          <w:lang w:val="uk-UA" w:eastAsia="ru-RU"/>
        </w:rPr>
        <w:t>(О) = (Qку+0,3×Рсд)×</w:t>
      </w:r>
      <w:proofErr w:type="spellStart"/>
      <w:r w:rsidRPr="00055F2E">
        <w:rPr>
          <w:rFonts w:ascii="Times New Roman" w:eastAsia="Times New Roman" w:hAnsi="Times New Roman" w:cs="Times New Roman"/>
          <w:b/>
          <w:sz w:val="24"/>
          <w:szCs w:val="24"/>
          <w:lang w:val="uk-UA" w:eastAsia="ru-RU"/>
        </w:rPr>
        <w:t>tп</w:t>
      </w:r>
      <w:proofErr w:type="spellEnd"/>
      <w:r w:rsidRPr="00055F2E">
        <w:rPr>
          <w:rFonts w:ascii="Times New Roman" w:eastAsia="Times New Roman" w:hAnsi="Times New Roman" w:cs="Times New Roman"/>
          <w:b/>
          <w:sz w:val="24"/>
          <w:szCs w:val="24"/>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Qку</w:t>
      </w:r>
      <w:proofErr w:type="spellEnd"/>
      <w:r w:rsidRPr="00055F2E">
        <w:rPr>
          <w:rFonts w:ascii="Times New Roman" w:eastAsia="Times New Roman" w:hAnsi="Times New Roman" w:cs="Times New Roman"/>
          <w:sz w:val="18"/>
          <w:szCs w:val="18"/>
          <w:lang w:val="uk-UA" w:eastAsia="ru-RU"/>
        </w:rPr>
        <w:tab/>
        <w:t xml:space="preserve">– сумарна встановлена потужність КУ на об'єкті споживача та його </w:t>
      </w:r>
      <w:proofErr w:type="spellStart"/>
      <w:r w:rsidRPr="00055F2E">
        <w:rPr>
          <w:rFonts w:ascii="Times New Roman" w:eastAsia="Times New Roman" w:hAnsi="Times New Roman" w:cs="Times New Roman"/>
          <w:sz w:val="18"/>
          <w:szCs w:val="18"/>
          <w:lang w:val="uk-UA" w:eastAsia="ru-RU"/>
        </w:rPr>
        <w:t>субспоживачів</w:t>
      </w:r>
      <w:proofErr w:type="spellEnd"/>
      <w:r w:rsidRPr="00055F2E">
        <w:rPr>
          <w:rFonts w:ascii="Times New Roman" w:eastAsia="Times New Roman" w:hAnsi="Times New Roman" w:cs="Times New Roman"/>
          <w:sz w:val="18"/>
          <w:szCs w:val="18"/>
          <w:lang w:val="uk-UA" w:eastAsia="ru-RU"/>
        </w:rPr>
        <w:t xml:space="preserve">, </w:t>
      </w:r>
      <w:proofErr w:type="spellStart"/>
      <w:r w:rsidRPr="00055F2E">
        <w:rPr>
          <w:rFonts w:ascii="Times New Roman" w:eastAsia="Times New Roman" w:hAnsi="Times New Roman" w:cs="Times New Roman"/>
          <w:sz w:val="18"/>
          <w:szCs w:val="18"/>
          <w:lang w:val="uk-UA" w:eastAsia="ru-RU"/>
        </w:rPr>
        <w:t>кВАр</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0,3</w:t>
      </w:r>
      <w:r w:rsidRPr="00055F2E">
        <w:rPr>
          <w:rFonts w:ascii="Times New Roman" w:eastAsia="Times New Roman" w:hAnsi="Times New Roman" w:cs="Times New Roman"/>
          <w:sz w:val="18"/>
          <w:szCs w:val="18"/>
          <w:lang w:val="uk-UA" w:eastAsia="ru-RU"/>
        </w:rPr>
        <w:tab/>
        <w:t>– рекомендований режим роботи високовольтних синхронних двигунів у режимі перекомпенсації з метою компенсації власної реактивної потужності;</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Рсд</w:t>
      </w:r>
      <w:proofErr w:type="spellEnd"/>
      <w:r w:rsidRPr="00055F2E">
        <w:rPr>
          <w:rFonts w:ascii="Times New Roman" w:eastAsia="Times New Roman" w:hAnsi="Times New Roman" w:cs="Times New Roman"/>
          <w:sz w:val="18"/>
          <w:szCs w:val="18"/>
          <w:lang w:val="uk-UA" w:eastAsia="ru-RU"/>
        </w:rPr>
        <w:tab/>
        <w:t xml:space="preserve">– сумарна встановлена потужність високовольтних (більше 1 кВ) синхронних двигунів на об'єкті споживача та його </w:t>
      </w:r>
      <w:proofErr w:type="spellStart"/>
      <w:r w:rsidRPr="00055F2E">
        <w:rPr>
          <w:rFonts w:ascii="Times New Roman" w:eastAsia="Times New Roman" w:hAnsi="Times New Roman" w:cs="Times New Roman"/>
          <w:sz w:val="18"/>
          <w:szCs w:val="18"/>
          <w:lang w:val="uk-UA" w:eastAsia="ru-RU"/>
        </w:rPr>
        <w:t>субспоживачів</w:t>
      </w:r>
      <w:proofErr w:type="spellEnd"/>
      <w:r w:rsidRPr="00055F2E">
        <w:rPr>
          <w:rFonts w:ascii="Times New Roman" w:eastAsia="Times New Roman" w:hAnsi="Times New Roman" w:cs="Times New Roman"/>
          <w:sz w:val="18"/>
          <w:szCs w:val="18"/>
          <w:lang w:val="uk-UA" w:eastAsia="ru-RU"/>
        </w:rPr>
        <w:t>, кВт;</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tп</w:t>
      </w:r>
      <w:proofErr w:type="spellEnd"/>
      <w:r w:rsidRPr="00055F2E">
        <w:rPr>
          <w:rFonts w:ascii="Times New Roman" w:eastAsia="Times New Roman" w:hAnsi="Times New Roman" w:cs="Times New Roman"/>
          <w:sz w:val="18"/>
          <w:szCs w:val="18"/>
          <w:lang w:val="uk-UA" w:eastAsia="ru-RU"/>
        </w:rPr>
        <w:tab/>
        <w:t>– кількість годин у розрахунковому періоді, год.</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21. Плата за перетікання реактивної електроенергії об'єкта споживача за розрахунковий період визначається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П = П1+П2–П3, </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t>П1</w:t>
      </w:r>
      <w:r w:rsidRPr="00055F2E">
        <w:rPr>
          <w:rFonts w:ascii="Times New Roman" w:eastAsia="Times New Roman" w:hAnsi="Times New Roman" w:cs="Times New Roman"/>
          <w:sz w:val="18"/>
          <w:szCs w:val="18"/>
          <w:lang w:val="uk-UA" w:eastAsia="ru-RU"/>
        </w:rPr>
        <w:tab/>
        <w:t>– основна плата за перетікання реактивної електроенергії, грн;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П2</w:t>
      </w:r>
      <w:r w:rsidRPr="00055F2E">
        <w:rPr>
          <w:rFonts w:ascii="Times New Roman" w:eastAsia="Times New Roman" w:hAnsi="Times New Roman" w:cs="Times New Roman"/>
          <w:sz w:val="18"/>
          <w:szCs w:val="18"/>
          <w:lang w:val="uk-UA" w:eastAsia="ru-RU"/>
        </w:rPr>
        <w:tab/>
        <w:t>– надбавка за недостатнє оснащення електричної мережі споживача  засобами КРП, грн;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П3</w:t>
      </w:r>
      <w:r w:rsidRPr="00055F2E">
        <w:rPr>
          <w:rFonts w:ascii="Times New Roman" w:eastAsia="Times New Roman" w:hAnsi="Times New Roman" w:cs="Times New Roman"/>
          <w:sz w:val="18"/>
          <w:szCs w:val="18"/>
          <w:lang w:val="uk-UA" w:eastAsia="ru-RU"/>
        </w:rPr>
        <w:tab/>
        <w:t>– знижка плати у разі залучення споживача до регулювання балансу реактивної потужності (електроенергії), грн.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22. Плата П1 визначається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П1 = </w:t>
      </w:r>
      <w:proofErr w:type="spellStart"/>
      <w:r w:rsidRPr="00055F2E">
        <w:rPr>
          <w:rFonts w:ascii="Times New Roman" w:eastAsia="Times New Roman" w:hAnsi="Times New Roman" w:cs="Times New Roman"/>
          <w:sz w:val="18"/>
          <w:szCs w:val="18"/>
          <w:lang w:val="uk-UA" w:eastAsia="ru-RU"/>
        </w:rPr>
        <w:t>Пс+Пг</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ab/>
        <w:t>– плата за споживання реактивної електроенергії, грн;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Пг</w:t>
      </w:r>
      <w:proofErr w:type="spellEnd"/>
      <w:r w:rsidRPr="00055F2E">
        <w:rPr>
          <w:rFonts w:ascii="Times New Roman" w:eastAsia="Times New Roman" w:hAnsi="Times New Roman" w:cs="Times New Roman"/>
          <w:sz w:val="18"/>
          <w:szCs w:val="18"/>
          <w:lang w:val="uk-UA" w:eastAsia="ru-RU"/>
        </w:rPr>
        <w:tab/>
        <w:t>– плата за генерацію реактивної електроенергії, грн.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23. Плата за споживання реактивної електроенергії розраховується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noProof/>
          <w:sz w:val="18"/>
          <w:szCs w:val="18"/>
          <w:lang w:val="uk-UA" w:eastAsia="uk-UA"/>
        </w:rPr>
        <w:drawing>
          <wp:inline distT="0" distB="0" distL="0" distR="0">
            <wp:extent cx="2519680" cy="3937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9680" cy="393700"/>
                    </a:xfrm>
                    <a:prstGeom prst="rect">
                      <a:avLst/>
                    </a:prstGeom>
                    <a:noFill/>
                    <a:ln>
                      <a:noFill/>
                    </a:ln>
                  </pic:spPr>
                </pic:pic>
              </a:graphicData>
            </a:graphic>
          </wp:inline>
        </w:drawing>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en-US" w:eastAsia="ru-RU"/>
        </w:rPr>
      </w:pP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 xml:space="preserve"> &lt; 0, то </w:t>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 xml:space="preserve"> = 0,</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Di</w:t>
      </w:r>
      <w:proofErr w:type="spellEnd"/>
      <w:r w:rsidRPr="00055F2E">
        <w:rPr>
          <w:rFonts w:ascii="Times New Roman" w:eastAsia="Times New Roman" w:hAnsi="Times New Roman" w:cs="Times New Roman"/>
          <w:sz w:val="18"/>
          <w:szCs w:val="18"/>
          <w:lang w:val="uk-UA" w:eastAsia="ru-RU"/>
        </w:rPr>
        <w:t xml:space="preserve">, </w:t>
      </w:r>
      <w:proofErr w:type="spellStart"/>
      <w:r w:rsidRPr="00055F2E">
        <w:rPr>
          <w:rFonts w:ascii="Times New Roman" w:eastAsia="Times New Roman" w:hAnsi="Times New Roman" w:cs="Times New Roman"/>
          <w:sz w:val="18"/>
          <w:szCs w:val="18"/>
          <w:lang w:val="uk-UA" w:eastAsia="ru-RU"/>
        </w:rPr>
        <w:t>Dj</w:t>
      </w:r>
      <w:proofErr w:type="spellEnd"/>
      <w:r w:rsidRPr="00055F2E">
        <w:rPr>
          <w:rFonts w:ascii="Times New Roman" w:eastAsia="Times New Roman" w:hAnsi="Times New Roman" w:cs="Times New Roman"/>
          <w:sz w:val="18"/>
          <w:szCs w:val="18"/>
          <w:lang w:val="uk-UA" w:eastAsia="ru-RU"/>
        </w:rPr>
        <w:tab/>
        <w:t>– ЕЕРП у вхідних і транзитних точках вимірювання, кВт/</w:t>
      </w:r>
      <w:proofErr w:type="spellStart"/>
      <w:r w:rsidRPr="00055F2E">
        <w:rPr>
          <w:rFonts w:ascii="Times New Roman" w:eastAsia="Times New Roman" w:hAnsi="Times New Roman" w:cs="Times New Roman"/>
          <w:sz w:val="18"/>
          <w:szCs w:val="18"/>
          <w:lang w:val="uk-UA" w:eastAsia="ru-RU"/>
        </w:rPr>
        <w:t>кВАр</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Т</w:t>
      </w:r>
      <w:r w:rsidRPr="00055F2E">
        <w:rPr>
          <w:rFonts w:ascii="Times New Roman" w:eastAsia="Times New Roman" w:hAnsi="Times New Roman" w:cs="Times New Roman"/>
          <w:sz w:val="18"/>
          <w:szCs w:val="18"/>
          <w:lang w:val="uk-UA" w:eastAsia="ru-RU"/>
        </w:rPr>
        <w:tab/>
        <w:t>– середня закупівельна оптова ринкова ціна на електроенергію за розрахунковий період, грн/</w:t>
      </w:r>
      <w:proofErr w:type="spellStart"/>
      <w:r w:rsidRPr="00055F2E">
        <w:rPr>
          <w:rFonts w:ascii="Times New Roman" w:eastAsia="Times New Roman" w:hAnsi="Times New Roman" w:cs="Times New Roman"/>
          <w:sz w:val="18"/>
          <w:szCs w:val="18"/>
          <w:lang w:val="uk-UA" w:eastAsia="ru-RU"/>
        </w:rPr>
        <w:t>кВт∙год</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Для розрахунку </w:t>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 xml:space="preserve"> враховуються обсяги споживання реактивної електроенергії всіх точок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24. За наявності засобів обліку генерації реактивної електроенергії на всіх вхідних точках вимірювання плата за генерацію реактивної електроенергії визначаєтьс</w:t>
      </w:r>
      <w:r>
        <w:rPr>
          <w:rFonts w:ascii="Times New Roman" w:eastAsia="Times New Roman" w:hAnsi="Times New Roman" w:cs="Times New Roman"/>
          <w:sz w:val="18"/>
          <w:szCs w:val="18"/>
          <w:lang w:val="uk-UA" w:eastAsia="ru-RU"/>
        </w:rPr>
        <w:t>0</w:t>
      </w:r>
      <w:r w:rsidRPr="00055F2E">
        <w:rPr>
          <w:rFonts w:ascii="Times New Roman" w:eastAsia="Times New Roman" w:hAnsi="Times New Roman" w:cs="Times New Roman"/>
          <w:sz w:val="18"/>
          <w:szCs w:val="18"/>
          <w:lang w:val="uk-UA" w:eastAsia="ru-RU"/>
        </w:rPr>
        <w:t>я за формулою:</w:t>
      </w:r>
    </w:p>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noProof/>
          <w:sz w:val="18"/>
          <w:szCs w:val="18"/>
          <w:lang w:val="uk-UA" w:eastAsia="uk-UA"/>
        </w:rPr>
        <w:drawing>
          <wp:inline distT="0" distB="0" distL="0" distR="0">
            <wp:extent cx="2530475" cy="4038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0475" cy="403860"/>
                    </a:xfrm>
                    <a:prstGeom prst="rect">
                      <a:avLst/>
                    </a:prstGeom>
                    <a:noFill/>
                    <a:ln>
                      <a:noFill/>
                    </a:ln>
                  </pic:spPr>
                </pic:pic>
              </a:graphicData>
            </a:graphic>
          </wp:inline>
        </w:drawing>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en-US" w:eastAsia="ru-RU"/>
        </w:rPr>
      </w:pP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Пг</w:t>
      </w:r>
      <w:proofErr w:type="spellEnd"/>
      <w:r w:rsidRPr="00055F2E">
        <w:rPr>
          <w:rFonts w:ascii="Times New Roman" w:eastAsia="Times New Roman" w:hAnsi="Times New Roman" w:cs="Times New Roman"/>
          <w:sz w:val="18"/>
          <w:szCs w:val="18"/>
          <w:lang w:val="uk-UA" w:eastAsia="ru-RU"/>
        </w:rPr>
        <w:t xml:space="preserve"> &lt; 0, то </w:t>
      </w:r>
      <w:proofErr w:type="spellStart"/>
      <w:r w:rsidRPr="00055F2E">
        <w:rPr>
          <w:rFonts w:ascii="Times New Roman" w:eastAsia="Times New Roman" w:hAnsi="Times New Roman" w:cs="Times New Roman"/>
          <w:sz w:val="18"/>
          <w:szCs w:val="18"/>
          <w:lang w:val="uk-UA" w:eastAsia="ru-RU"/>
        </w:rPr>
        <w:t>Пг</w:t>
      </w:r>
      <w:proofErr w:type="spellEnd"/>
      <w:r w:rsidRPr="00055F2E">
        <w:rPr>
          <w:rFonts w:ascii="Times New Roman" w:eastAsia="Times New Roman" w:hAnsi="Times New Roman" w:cs="Times New Roman"/>
          <w:sz w:val="18"/>
          <w:szCs w:val="18"/>
          <w:lang w:val="uk-UA" w:eastAsia="ru-RU"/>
        </w:rPr>
        <w:t xml:space="preserve"> = 0.</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Для розрахунку </w:t>
      </w:r>
      <w:proofErr w:type="spellStart"/>
      <w:r w:rsidRPr="00055F2E">
        <w:rPr>
          <w:rFonts w:ascii="Times New Roman" w:eastAsia="Times New Roman" w:hAnsi="Times New Roman" w:cs="Times New Roman"/>
          <w:sz w:val="18"/>
          <w:szCs w:val="18"/>
          <w:lang w:val="uk-UA" w:eastAsia="ru-RU"/>
        </w:rPr>
        <w:t>Пг</w:t>
      </w:r>
      <w:proofErr w:type="spellEnd"/>
      <w:r w:rsidRPr="00055F2E">
        <w:rPr>
          <w:rFonts w:ascii="Times New Roman" w:eastAsia="Times New Roman" w:hAnsi="Times New Roman" w:cs="Times New Roman"/>
          <w:sz w:val="18"/>
          <w:szCs w:val="18"/>
          <w:lang w:val="uk-UA" w:eastAsia="ru-RU"/>
        </w:rPr>
        <w:t xml:space="preserve"> транзитні обсяги генерації реактивної електроенергії </w:t>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 враховуються тільки в точках вимірювання, де наявні засоби обліку генерації реактивної електроенергії.</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Для розрахунку використовуються обсяги генерації реактивної електроенергії в зоні нічного провалу добового графіка за умови наявності такого обліку в усіх точках вимірювання.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25. За відсутності хоча б в одній вхідній точці вимірювання засобу обліку генерації реактивної електроенергії плата за генерацію реактивної електроенергії визначається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Пг</w:t>
      </w:r>
      <w:proofErr w:type="spellEnd"/>
      <w:r w:rsidRPr="00055F2E">
        <w:rPr>
          <w:rFonts w:ascii="Times New Roman" w:eastAsia="Times New Roman" w:hAnsi="Times New Roman" w:cs="Times New Roman"/>
          <w:sz w:val="18"/>
          <w:szCs w:val="18"/>
          <w:lang w:val="uk-UA" w:eastAsia="ru-RU"/>
        </w:rPr>
        <w:t xml:space="preserve"> = </w:t>
      </w:r>
      <w:proofErr w:type="spellStart"/>
      <w:r w:rsidRPr="00055F2E">
        <w:rPr>
          <w:rFonts w:ascii="Times New Roman" w:eastAsia="Times New Roman" w:hAnsi="Times New Roman" w:cs="Times New Roman"/>
          <w:sz w:val="18"/>
          <w:szCs w:val="18"/>
          <w:lang w:val="uk-UA" w:eastAsia="ru-RU"/>
        </w:rPr>
        <w:t>WQг</w:t>
      </w:r>
      <w:proofErr w:type="spellEnd"/>
      <w:r w:rsidRPr="00055F2E">
        <w:rPr>
          <w:rFonts w:ascii="Times New Roman" w:eastAsia="Times New Roman" w:hAnsi="Times New Roman" w:cs="Times New Roman"/>
          <w:sz w:val="18"/>
          <w:szCs w:val="18"/>
          <w:lang w:val="uk-UA" w:eastAsia="ru-RU"/>
        </w:rPr>
        <w:t>(О)×</w:t>
      </w:r>
      <w:proofErr w:type="spellStart"/>
      <w:r w:rsidRPr="00055F2E">
        <w:rPr>
          <w:rFonts w:ascii="Times New Roman" w:eastAsia="Times New Roman" w:hAnsi="Times New Roman" w:cs="Times New Roman"/>
          <w:sz w:val="18"/>
          <w:szCs w:val="18"/>
          <w:lang w:val="uk-UA" w:eastAsia="ru-RU"/>
        </w:rPr>
        <w:t>Dср×Т</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де</w:t>
      </w:r>
      <w:r w:rsidRPr="00055F2E">
        <w:rPr>
          <w:rFonts w:ascii="Times New Roman" w:eastAsia="Times New Roman" w:hAnsi="Times New Roman" w:cs="Times New Roman"/>
          <w:sz w:val="18"/>
          <w:szCs w:val="18"/>
          <w:lang w:val="uk-UA" w:eastAsia="ru-RU"/>
        </w:rPr>
        <w:tab/>
      </w:r>
      <w:proofErr w:type="spellStart"/>
      <w:r w:rsidRPr="00055F2E">
        <w:rPr>
          <w:rFonts w:ascii="Times New Roman" w:eastAsia="Times New Roman" w:hAnsi="Times New Roman" w:cs="Times New Roman"/>
          <w:sz w:val="18"/>
          <w:szCs w:val="18"/>
          <w:lang w:val="uk-UA" w:eastAsia="ru-RU"/>
        </w:rPr>
        <w:t>Dср</w:t>
      </w:r>
      <w:proofErr w:type="spellEnd"/>
      <w:r w:rsidRPr="00055F2E">
        <w:rPr>
          <w:rFonts w:ascii="Times New Roman" w:eastAsia="Times New Roman" w:hAnsi="Times New Roman" w:cs="Times New Roman"/>
          <w:sz w:val="18"/>
          <w:szCs w:val="18"/>
          <w:lang w:val="uk-UA" w:eastAsia="ru-RU"/>
        </w:rPr>
        <w:t xml:space="preserve"> – середнє значення ЕЕРП за вхідними точками вимірювання, кВт/</w:t>
      </w:r>
      <w:proofErr w:type="spellStart"/>
      <w:r w:rsidRPr="00055F2E">
        <w:rPr>
          <w:rFonts w:ascii="Times New Roman" w:eastAsia="Times New Roman" w:hAnsi="Times New Roman" w:cs="Times New Roman"/>
          <w:sz w:val="18"/>
          <w:szCs w:val="18"/>
          <w:lang w:val="uk-UA" w:eastAsia="ru-RU"/>
        </w:rPr>
        <w:t>кВАр</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26. Надбавка за недостатнє оснащення електричної мережі споживача засобами КРП обчислюється за формулою:</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ab/>
        <w:t xml:space="preserve">П2 = </w:t>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–0,25)</w:t>
      </w:r>
      <w:r w:rsidR="00E668E7" w:rsidRPr="00E668E7">
        <w:rPr>
          <w:rFonts w:ascii="Times New Roman" w:eastAsia="Times New Roman" w:hAnsi="Times New Roman" w:cs="Times New Roman"/>
          <w:sz w:val="18"/>
          <w:szCs w:val="18"/>
          <w:vertAlign w:val="superscript"/>
          <w:lang w:val="uk-UA" w:eastAsia="ru-RU"/>
        </w:rPr>
        <w:t>2</w:t>
      </w:r>
      <w:r w:rsidRPr="00055F2E">
        <w:rPr>
          <w:rFonts w:ascii="Times New Roman" w:eastAsia="Times New Roman" w:hAnsi="Times New Roman" w:cs="Times New Roman"/>
          <w:sz w:val="18"/>
          <w:szCs w:val="18"/>
          <w:lang w:val="uk-UA" w:eastAsia="ru-RU"/>
        </w:rPr>
        <w:t xml:space="preserve">, якщо </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 0,25, то П2 = 0, якщо </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&gt; 2, то </w:t>
      </w:r>
      <w:proofErr w:type="spellStart"/>
      <w:r w:rsidRPr="00055F2E">
        <w:rPr>
          <w:rFonts w:ascii="Times New Roman" w:eastAsia="Times New Roman" w:hAnsi="Times New Roman" w:cs="Times New Roman"/>
          <w:sz w:val="18"/>
          <w:szCs w:val="18"/>
          <w:lang w:val="uk-UA" w:eastAsia="ru-RU"/>
        </w:rPr>
        <w:t>tgφ</w:t>
      </w:r>
      <w:proofErr w:type="spellEnd"/>
      <w:r w:rsidRPr="00055F2E">
        <w:rPr>
          <w:rFonts w:ascii="Times New Roman" w:eastAsia="Times New Roman" w:hAnsi="Times New Roman" w:cs="Times New Roman"/>
          <w:sz w:val="18"/>
          <w:szCs w:val="18"/>
          <w:lang w:val="uk-UA" w:eastAsia="ru-RU"/>
        </w:rPr>
        <w:t xml:space="preserve"> = 2.</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27. У точках вимірювання об'єкта споживача, на яких встановлено виключно пристрої генерації активної електроенергії згідно з ліцензією на  електричну та теплову енергію, що виробляється </w:t>
      </w:r>
      <w:proofErr w:type="spellStart"/>
      <w:r w:rsidRPr="00055F2E">
        <w:rPr>
          <w:rFonts w:ascii="Times New Roman" w:eastAsia="Times New Roman" w:hAnsi="Times New Roman" w:cs="Times New Roman"/>
          <w:sz w:val="18"/>
          <w:szCs w:val="18"/>
          <w:lang w:val="uk-UA" w:eastAsia="ru-RU"/>
        </w:rPr>
        <w:t>когенераційними</w:t>
      </w:r>
      <w:proofErr w:type="spellEnd"/>
      <w:r w:rsidRPr="00055F2E">
        <w:rPr>
          <w:rFonts w:ascii="Times New Roman" w:eastAsia="Times New Roman" w:hAnsi="Times New Roman" w:cs="Times New Roman"/>
          <w:sz w:val="18"/>
          <w:szCs w:val="18"/>
          <w:lang w:val="uk-UA" w:eastAsia="ru-RU"/>
        </w:rPr>
        <w:t xml:space="preserve"> установками, а також у точках вимірювання ТЕЦ, МГЕС, ВЕС, СЕС тощо, які тимчасово працюють у режимі споживача, враховується тільки складова плати за споживання реактивної електроенергії </w:t>
      </w:r>
      <w:proofErr w:type="spellStart"/>
      <w:r w:rsidRPr="00055F2E">
        <w:rPr>
          <w:rFonts w:ascii="Times New Roman" w:eastAsia="Times New Roman" w:hAnsi="Times New Roman" w:cs="Times New Roman"/>
          <w:sz w:val="18"/>
          <w:szCs w:val="18"/>
          <w:lang w:val="uk-UA" w:eastAsia="ru-RU"/>
        </w:rPr>
        <w:t>Пс</w:t>
      </w:r>
      <w:proofErr w:type="spellEnd"/>
      <w:r w:rsidRPr="00055F2E">
        <w:rPr>
          <w:rFonts w:ascii="Times New Roman" w:eastAsia="Times New Roman" w:hAnsi="Times New Roman" w:cs="Times New Roman"/>
          <w:sz w:val="18"/>
          <w:szCs w:val="18"/>
          <w:lang w:val="uk-UA" w:eastAsia="ru-RU"/>
        </w:rPr>
        <w:t>.</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28. ЕЕРП вхідних точок вимірювання основного споживача розраховуються з урахуванням параметрів обладнання його електричних мереж (трансформаторів, ліній, реакторів тощо).</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29. ЕЕРП транзитних точок вимірювання або вхідних точок вимірювання </w:t>
      </w:r>
      <w:proofErr w:type="spellStart"/>
      <w:r w:rsidRPr="00055F2E">
        <w:rPr>
          <w:rFonts w:ascii="Times New Roman" w:eastAsia="Times New Roman" w:hAnsi="Times New Roman" w:cs="Times New Roman"/>
          <w:sz w:val="18"/>
          <w:szCs w:val="18"/>
          <w:lang w:val="uk-UA" w:eastAsia="ru-RU"/>
        </w:rPr>
        <w:t>субспоживача</w:t>
      </w:r>
      <w:proofErr w:type="spellEnd"/>
      <w:r w:rsidRPr="00055F2E">
        <w:rPr>
          <w:rFonts w:ascii="Times New Roman" w:eastAsia="Times New Roman" w:hAnsi="Times New Roman" w:cs="Times New Roman"/>
          <w:sz w:val="18"/>
          <w:szCs w:val="18"/>
          <w:lang w:val="uk-UA" w:eastAsia="ru-RU"/>
        </w:rPr>
        <w:t xml:space="preserve"> визначаються значеннями ЕЕРП вхідних точок вимірювання основного споживача за нормальною схемою живлення.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30. Для транзитних точок вимірювання, що межують з мережами ЕП, або для вхідних точок вимірювання </w:t>
      </w:r>
      <w:proofErr w:type="spellStart"/>
      <w:r w:rsidRPr="00055F2E">
        <w:rPr>
          <w:rFonts w:ascii="Times New Roman" w:eastAsia="Times New Roman" w:hAnsi="Times New Roman" w:cs="Times New Roman"/>
          <w:sz w:val="18"/>
          <w:szCs w:val="18"/>
          <w:lang w:val="uk-UA" w:eastAsia="ru-RU"/>
        </w:rPr>
        <w:t>субспоживача</w:t>
      </w:r>
      <w:proofErr w:type="spellEnd"/>
      <w:r w:rsidRPr="00055F2E">
        <w:rPr>
          <w:rFonts w:ascii="Times New Roman" w:eastAsia="Times New Roman" w:hAnsi="Times New Roman" w:cs="Times New Roman"/>
          <w:sz w:val="18"/>
          <w:szCs w:val="18"/>
          <w:lang w:val="uk-UA" w:eastAsia="ru-RU"/>
        </w:rPr>
        <w:t xml:space="preserve"> (при розрахунках основний споживач – </w:t>
      </w:r>
      <w:proofErr w:type="spellStart"/>
      <w:r w:rsidRPr="00055F2E">
        <w:rPr>
          <w:rFonts w:ascii="Times New Roman" w:eastAsia="Times New Roman" w:hAnsi="Times New Roman" w:cs="Times New Roman"/>
          <w:sz w:val="18"/>
          <w:szCs w:val="18"/>
          <w:lang w:val="uk-UA" w:eastAsia="ru-RU"/>
        </w:rPr>
        <w:t>субспоживач</w:t>
      </w:r>
      <w:proofErr w:type="spellEnd"/>
      <w:r w:rsidRPr="00055F2E">
        <w:rPr>
          <w:rFonts w:ascii="Times New Roman" w:eastAsia="Times New Roman" w:hAnsi="Times New Roman" w:cs="Times New Roman"/>
          <w:sz w:val="18"/>
          <w:szCs w:val="18"/>
          <w:lang w:val="uk-UA" w:eastAsia="ru-RU"/>
        </w:rPr>
        <w:t xml:space="preserve">) значення ЕЕРП можуть розраховуватись з урахуванням параметрів обладнання електричних мереж основного споживача і </w:t>
      </w:r>
      <w:proofErr w:type="spellStart"/>
      <w:r w:rsidRPr="00055F2E">
        <w:rPr>
          <w:rFonts w:ascii="Times New Roman" w:eastAsia="Times New Roman" w:hAnsi="Times New Roman" w:cs="Times New Roman"/>
          <w:sz w:val="18"/>
          <w:szCs w:val="18"/>
          <w:lang w:val="uk-UA" w:eastAsia="ru-RU"/>
        </w:rPr>
        <w:t>субспоживача</w:t>
      </w:r>
      <w:proofErr w:type="spellEnd"/>
      <w:r w:rsidRPr="00055F2E">
        <w:rPr>
          <w:rFonts w:ascii="Times New Roman" w:eastAsia="Times New Roman" w:hAnsi="Times New Roman" w:cs="Times New Roman"/>
          <w:sz w:val="18"/>
          <w:szCs w:val="18"/>
          <w:lang w:val="uk-UA" w:eastAsia="ru-RU"/>
        </w:rPr>
        <w:t xml:space="preserve"> за нормальною схемою живлення.</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31. Значення ЕЕРП може бути перераховане протягом дворічного періоду за умови відповідних змін щодо складу точок вимірювання об'єкта споживача, уточнення навантажень точок вимірювання, зміни параметрів обладнання електричної мережі споживача, що враховувались для розрахунку ЕЕРП, зміни нормальної схеми живлення споживача тощо.</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32. Нові (перераховані) значення ЕЕРП доводяться до відома споживача письмовим повідомленням, що є невід'ємною частиною Договору і цього додатку. У письмовому повідомленні надається таблиця з переліком точок розрахунку ЕЕРП і новими значеннями ЕЕРП:</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549"/>
        <w:gridCol w:w="1147"/>
        <w:gridCol w:w="760"/>
        <w:gridCol w:w="825"/>
        <w:gridCol w:w="851"/>
        <w:gridCol w:w="961"/>
      </w:tblGrid>
      <w:tr w:rsidR="00055F2E" w:rsidRPr="00055F2E" w:rsidTr="004956C5">
        <w:trPr>
          <w:trHeight w:val="320"/>
          <w:jc w:val="center"/>
        </w:trPr>
        <w:tc>
          <w:tcPr>
            <w:tcW w:w="0" w:type="auto"/>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з/п</w:t>
            </w:r>
          </w:p>
        </w:tc>
        <w:tc>
          <w:tcPr>
            <w:tcW w:w="1147" w:type="dxa"/>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Точка розрахунку ЕЕРП</w:t>
            </w:r>
          </w:p>
        </w:tc>
        <w:tc>
          <w:tcPr>
            <w:tcW w:w="760"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P, кВт</w:t>
            </w:r>
          </w:p>
        </w:tc>
        <w:tc>
          <w:tcPr>
            <w:tcW w:w="825"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Q, </w:t>
            </w:r>
            <w:proofErr w:type="spellStart"/>
            <w:r w:rsidRPr="00055F2E">
              <w:rPr>
                <w:rFonts w:ascii="Times New Roman" w:eastAsia="Times New Roman" w:hAnsi="Times New Roman" w:cs="Times New Roman"/>
                <w:sz w:val="18"/>
                <w:szCs w:val="18"/>
                <w:lang w:val="uk-UA" w:eastAsia="ru-RU"/>
              </w:rPr>
              <w:t>кВАр</w:t>
            </w:r>
            <w:proofErr w:type="spellEnd"/>
          </w:p>
        </w:tc>
        <w:tc>
          <w:tcPr>
            <w:tcW w:w="85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ЕЕРП (D)</w:t>
            </w:r>
          </w:p>
        </w:tc>
        <w:tc>
          <w:tcPr>
            <w:tcW w:w="96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Примітка</w:t>
            </w:r>
          </w:p>
        </w:tc>
      </w:tr>
      <w:tr w:rsidR="00055F2E" w:rsidRPr="00055F2E" w:rsidTr="004956C5">
        <w:trPr>
          <w:trHeight w:val="172"/>
          <w:jc w:val="center"/>
        </w:trPr>
        <w:tc>
          <w:tcPr>
            <w:tcW w:w="0" w:type="auto"/>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1</w:t>
            </w:r>
          </w:p>
        </w:tc>
        <w:tc>
          <w:tcPr>
            <w:tcW w:w="1147"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760"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825"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85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96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r>
      <w:tr w:rsidR="00055F2E" w:rsidRPr="00055F2E" w:rsidTr="004956C5">
        <w:trPr>
          <w:trHeight w:val="172"/>
          <w:jc w:val="center"/>
        </w:trPr>
        <w:tc>
          <w:tcPr>
            <w:tcW w:w="0" w:type="auto"/>
          </w:tcPr>
          <w:p w:rsidR="00055F2E" w:rsidRPr="00055F2E" w:rsidRDefault="00055F2E" w:rsidP="00055F2E">
            <w:pPr>
              <w:tabs>
                <w:tab w:val="left" w:pos="0"/>
              </w:tabs>
              <w:spacing w:after="0" w:line="240" w:lineRule="auto"/>
              <w:contextualSpacing/>
              <w:jc w:val="center"/>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2</w:t>
            </w:r>
          </w:p>
        </w:tc>
        <w:tc>
          <w:tcPr>
            <w:tcW w:w="1147"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760"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825"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85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c>
          <w:tcPr>
            <w:tcW w:w="961" w:type="dxa"/>
          </w:tcPr>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p>
        </w:tc>
      </w:tr>
    </w:tbl>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 </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33. Розрахункові засоби обліку, що контролюють генерацію реактивної електроенергії, мають бути встановлені вище точок приєднань усіх наявних у мережі споживача джерел реактивної електроенергії.</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34. Пряме віднімання генерації реактивної електроенергії від її споживання або споживання реактивної електроенергії від її генерації за розрахунковий період технологічно некоректне і неприпустиме.</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35. В умовах транзитних схем електропостачання об'єкта споживача, що має багатостороннє живлення, розрахунковий облік перетікання реактивної електроенергії необхідно встановлюватися безпосередньо на приєднаннях споживача.</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36. У разі тимчасового порушення обліку реактивної електроенергії не з вини споживача або неподання даних про обсяги перетікання реактивної електроенергії в поточному розрахунковому періоді розрахунок здійснюється за середньодобовим обсягом попереднього розрахункового періоду, а в наступні розрахункові періоди – за формулами п. 16, 19, 23 цього додатку.</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37. У разі, якщо облік не може бути відновлений у строк одного розрахункового періоду не з вини споживача, порядок подальших розрахунків встановлюється за домовленістю сторін.</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38. У разі тимчасового порушення обліку реактивної електроенергії з вини споживача розрахунок за перетікання реактивної електроенергії здійснюється за формулами за формулами п. 16, 19, 23 цього Додатку.</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39. В неробочий час КУ споживача повинні бути відключені.</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40. Установка КУ здійснюється споживачем з дозволу Оператора системи при умові наявності обліку генерації реактивної електроенергії, що встановлені вище точок приєднань усіх наявних у мережі споживача джерел реактивної електроенергії з відповідним внесенням змін у цей додаток до договору.</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41. У разі самовільного підключення споживачем пристроїв КРП споживач має сплатити за розрахункові обсяги генерації реактивної електроенергії згідно п. 23 цього додатку з урахуванням потужності самовільно підключених пристроїв КРП з дати останнього внесення змін до Договору.</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 xml:space="preserve">42. У разі фіксації значних обсягів генерації реактивної електроенергії у вхідних точках вимірювання на об'єкті споживача з відсутніми пристроями КРП, що може відбуватись за рахунок зарядної потужності кабельних ліній споживача, транзитних перетікань реактивної потужності через замкнені мережі споживача, наявності пристроїв КРП в мережах </w:t>
      </w:r>
      <w:proofErr w:type="spellStart"/>
      <w:r w:rsidRPr="00055F2E">
        <w:rPr>
          <w:rFonts w:ascii="Times New Roman" w:eastAsia="Times New Roman" w:hAnsi="Times New Roman" w:cs="Times New Roman"/>
          <w:sz w:val="18"/>
          <w:szCs w:val="18"/>
          <w:lang w:val="uk-UA" w:eastAsia="ru-RU"/>
        </w:rPr>
        <w:t>субспоживачів</w:t>
      </w:r>
      <w:proofErr w:type="spellEnd"/>
      <w:r w:rsidRPr="00055F2E">
        <w:rPr>
          <w:rFonts w:ascii="Times New Roman" w:eastAsia="Times New Roman" w:hAnsi="Times New Roman" w:cs="Times New Roman"/>
          <w:sz w:val="18"/>
          <w:szCs w:val="18"/>
          <w:lang w:val="uk-UA" w:eastAsia="ru-RU"/>
        </w:rPr>
        <w:t xml:space="preserve"> тощо споживач повинен надати доступ для відповідної інспекції щодо наявності у споживача або його </w:t>
      </w:r>
      <w:proofErr w:type="spellStart"/>
      <w:r w:rsidRPr="00055F2E">
        <w:rPr>
          <w:rFonts w:ascii="Times New Roman" w:eastAsia="Times New Roman" w:hAnsi="Times New Roman" w:cs="Times New Roman"/>
          <w:sz w:val="18"/>
          <w:szCs w:val="18"/>
          <w:lang w:val="uk-UA" w:eastAsia="ru-RU"/>
        </w:rPr>
        <w:t>субспоживачів</w:t>
      </w:r>
      <w:proofErr w:type="spellEnd"/>
      <w:r w:rsidRPr="00055F2E">
        <w:rPr>
          <w:rFonts w:ascii="Times New Roman" w:eastAsia="Times New Roman" w:hAnsi="Times New Roman" w:cs="Times New Roman"/>
          <w:sz w:val="18"/>
          <w:szCs w:val="18"/>
          <w:lang w:val="uk-UA" w:eastAsia="ru-RU"/>
        </w:rPr>
        <w:t xml:space="preserve"> засобів КРП. У разі відмови споживача від такої інспекції йому нараховується плата за генерацію реактивної електроенергії.</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43. Якщо обсяг споживання активної електроенергії в точці вимірювання розраховується з урахуванням навантаження електроустановок споживача на рівні мінімально допустимого рівня завантаження схеми, споживання реактивної електроенергії може визначається за розрахунковими формулами за умови нульових показників відповідних лічильників.</w:t>
      </w:r>
    </w:p>
    <w:p w:rsidR="00055F2E" w:rsidRPr="00055F2E" w:rsidRDefault="00055F2E" w:rsidP="00055F2E">
      <w:pPr>
        <w:tabs>
          <w:tab w:val="left" w:pos="0"/>
        </w:tabs>
        <w:spacing w:after="0" w:line="240" w:lineRule="auto"/>
        <w:contextualSpacing/>
        <w:jc w:val="both"/>
        <w:rPr>
          <w:rFonts w:ascii="Times New Roman" w:eastAsia="Times New Roman" w:hAnsi="Times New Roman" w:cs="Times New Roman"/>
          <w:sz w:val="18"/>
          <w:szCs w:val="18"/>
          <w:lang w:val="uk-UA" w:eastAsia="ru-RU"/>
        </w:rPr>
      </w:pPr>
      <w:r w:rsidRPr="00055F2E">
        <w:rPr>
          <w:rFonts w:ascii="Times New Roman" w:eastAsia="Times New Roman" w:hAnsi="Times New Roman" w:cs="Times New Roman"/>
          <w:sz w:val="18"/>
          <w:szCs w:val="18"/>
          <w:lang w:val="uk-UA" w:eastAsia="ru-RU"/>
        </w:rPr>
        <w:t>44. Споживач  зобов'язаний  забезпечувати передачу показань розрахункових електролічильників реактивної  електроенергії за розрахунковий період відповідно до умов Додатку №4 до даного Договору.</w:t>
      </w:r>
    </w:p>
    <w:p w:rsidR="00055F2E" w:rsidRPr="002D26C0" w:rsidRDefault="00055F2E" w:rsidP="00055F2E">
      <w:pPr>
        <w:tabs>
          <w:tab w:val="left" w:pos="0"/>
        </w:tabs>
        <w:spacing w:after="0" w:line="240" w:lineRule="auto"/>
        <w:contextualSpacing/>
        <w:jc w:val="both"/>
        <w:rPr>
          <w:rFonts w:ascii="Times New Roman" w:eastAsia="Times New Roman" w:hAnsi="Times New Roman" w:cs="Times New Roman"/>
          <w:sz w:val="18"/>
          <w:szCs w:val="18"/>
          <w:lang w:eastAsia="ru-RU"/>
        </w:rPr>
      </w:pPr>
      <w:r w:rsidRPr="00055F2E">
        <w:rPr>
          <w:rFonts w:ascii="Times New Roman" w:eastAsia="Times New Roman" w:hAnsi="Times New Roman" w:cs="Times New Roman"/>
          <w:sz w:val="18"/>
          <w:szCs w:val="18"/>
          <w:lang w:val="uk-UA" w:eastAsia="ru-RU"/>
        </w:rPr>
        <w:t>45. Суперечки щодо технічних питань розв'язуються центральним органом виконавчої влади, що реалізує державну політику у сфері нагляду (контролю) в галузі електроенергетики, згідно з чинним законодавством. Усі інші суперечки, що випливають з цього Договору, вирішуються шляхом переговорів між Сторонами. У випадку, якщо їх неможливо вирішити шляхом переговорів між Сторонами, вони вирішуються в судовому порядку відповідно до чинного законодавства</w:t>
      </w:r>
      <w:r w:rsidRPr="00055F2E">
        <w:rPr>
          <w:rFonts w:ascii="Times New Roman" w:eastAsia="Times New Roman" w:hAnsi="Times New Roman" w:cs="Times New Roman"/>
          <w:sz w:val="24"/>
          <w:szCs w:val="20"/>
          <w:lang w:eastAsia="uk-UA"/>
        </w:rPr>
        <w:t>.</w:t>
      </w:r>
    </w:p>
    <w:tbl>
      <w:tblPr>
        <w:tblW w:w="0" w:type="auto"/>
        <w:tblInd w:w="108" w:type="dxa"/>
        <w:tblLook w:val="0000" w:firstRow="0" w:lastRow="0" w:firstColumn="0" w:lastColumn="0" w:noHBand="0" w:noVBand="0"/>
      </w:tblPr>
      <w:tblGrid>
        <w:gridCol w:w="4680"/>
        <w:gridCol w:w="236"/>
        <w:gridCol w:w="4444"/>
      </w:tblGrid>
      <w:tr w:rsidR="00055F2E" w:rsidRPr="00055F2E" w:rsidTr="004956C5">
        <w:tc>
          <w:tcPr>
            <w:tcW w:w="4680" w:type="dxa"/>
          </w:tcPr>
          <w:p w:rsidR="00055F2E" w:rsidRPr="00055F2E" w:rsidRDefault="00055F2E" w:rsidP="00055F2E">
            <w:pPr>
              <w:spacing w:after="0" w:line="240" w:lineRule="auto"/>
              <w:jc w:val="center"/>
              <w:rPr>
                <w:rFonts w:ascii="Times New Roman" w:eastAsia="Times New Roman" w:hAnsi="Times New Roman" w:cs="Times New Roman"/>
                <w:b/>
                <w:bCs/>
                <w:sz w:val="18"/>
                <w:szCs w:val="18"/>
                <w:lang w:val="uk-UA" w:eastAsia="uk-UA"/>
              </w:rPr>
            </w:pPr>
            <w:r w:rsidRPr="00055F2E">
              <w:rPr>
                <w:rFonts w:ascii="Times New Roman" w:eastAsia="Times New Roman" w:hAnsi="Times New Roman" w:cs="Times New Roman"/>
                <w:b/>
                <w:bCs/>
                <w:sz w:val="18"/>
                <w:szCs w:val="18"/>
                <w:lang w:val="uk-UA" w:eastAsia="uk-UA"/>
              </w:rPr>
              <w:t>Оператор системи</w:t>
            </w:r>
          </w:p>
        </w:tc>
        <w:tc>
          <w:tcPr>
            <w:tcW w:w="236" w:type="dxa"/>
          </w:tcPr>
          <w:p w:rsidR="00055F2E" w:rsidRPr="00055F2E" w:rsidRDefault="00055F2E" w:rsidP="00055F2E">
            <w:pPr>
              <w:spacing w:after="0" w:line="240" w:lineRule="auto"/>
              <w:jc w:val="center"/>
              <w:rPr>
                <w:rFonts w:ascii="Times New Roman" w:eastAsia="Times New Roman" w:hAnsi="Times New Roman" w:cs="Times New Roman"/>
                <w:b/>
                <w:bCs/>
                <w:sz w:val="18"/>
                <w:szCs w:val="18"/>
                <w:lang w:val="uk-UA" w:eastAsia="uk-UA"/>
              </w:rPr>
            </w:pPr>
          </w:p>
        </w:tc>
        <w:tc>
          <w:tcPr>
            <w:tcW w:w="4444" w:type="dxa"/>
          </w:tcPr>
          <w:p w:rsidR="00055F2E" w:rsidRPr="00055F2E" w:rsidRDefault="00055F2E" w:rsidP="00055F2E">
            <w:pPr>
              <w:spacing w:after="0" w:line="240" w:lineRule="auto"/>
              <w:jc w:val="center"/>
              <w:rPr>
                <w:rFonts w:ascii="Times New Roman" w:eastAsia="Times New Roman" w:hAnsi="Times New Roman" w:cs="Times New Roman"/>
                <w:b/>
                <w:bCs/>
                <w:sz w:val="18"/>
                <w:szCs w:val="18"/>
                <w:lang w:val="uk-UA" w:eastAsia="uk-UA"/>
              </w:rPr>
            </w:pPr>
            <w:r w:rsidRPr="00055F2E">
              <w:rPr>
                <w:rFonts w:ascii="Times New Roman" w:eastAsia="Times New Roman" w:hAnsi="Times New Roman" w:cs="Times New Roman"/>
                <w:b/>
                <w:bCs/>
                <w:sz w:val="18"/>
                <w:szCs w:val="18"/>
                <w:lang w:val="uk-UA" w:eastAsia="uk-UA"/>
              </w:rPr>
              <w:t>Споживач</w:t>
            </w:r>
          </w:p>
        </w:tc>
      </w:tr>
      <w:tr w:rsidR="00055F2E" w:rsidRPr="00055F2E" w:rsidTr="004956C5">
        <w:tc>
          <w:tcPr>
            <w:tcW w:w="4680" w:type="dxa"/>
            <w:tcBorders>
              <w:bottom w:val="single" w:sz="4" w:space="0" w:color="auto"/>
            </w:tcBorders>
          </w:tcPr>
          <w:p w:rsidR="00055F2E" w:rsidRPr="00055F2E" w:rsidRDefault="00055F2E" w:rsidP="00055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color w:val="000000"/>
                <w:sz w:val="18"/>
                <w:szCs w:val="18"/>
                <w:lang w:val="uk-UA" w:eastAsia="uk-UA"/>
              </w:rPr>
              <w:t>________________________________________________</w:t>
            </w:r>
          </w:p>
        </w:tc>
        <w:tc>
          <w:tcPr>
            <w:tcW w:w="236" w:type="dxa"/>
          </w:tcPr>
          <w:p w:rsidR="00055F2E" w:rsidRPr="00055F2E" w:rsidRDefault="00055F2E" w:rsidP="00055F2E">
            <w:pPr>
              <w:tabs>
                <w:tab w:val="left" w:pos="3492"/>
              </w:tabs>
              <w:spacing w:after="0" w:line="240" w:lineRule="auto"/>
              <w:jc w:val="both"/>
              <w:rPr>
                <w:rFonts w:ascii="Times New Roman" w:eastAsia="Times New Roman" w:hAnsi="Times New Roman" w:cs="Times New Roman"/>
                <w:sz w:val="18"/>
                <w:szCs w:val="18"/>
                <w:lang w:val="uk-UA" w:eastAsia="uk-UA"/>
              </w:rPr>
            </w:pPr>
          </w:p>
        </w:tc>
        <w:tc>
          <w:tcPr>
            <w:tcW w:w="4444" w:type="dxa"/>
            <w:tcBorders>
              <w:bottom w:val="single" w:sz="4" w:space="0" w:color="auto"/>
            </w:tcBorders>
          </w:tcPr>
          <w:p w:rsidR="00055F2E" w:rsidRPr="00055F2E" w:rsidRDefault="00055F2E" w:rsidP="00055F2E">
            <w:pPr>
              <w:tabs>
                <w:tab w:val="left" w:pos="3492"/>
              </w:tabs>
              <w:spacing w:after="0" w:line="240" w:lineRule="auto"/>
              <w:jc w:val="both"/>
              <w:rPr>
                <w:rFonts w:ascii="Times New Roman" w:eastAsia="Times New Roman" w:hAnsi="Times New Roman" w:cs="Times New Roman"/>
                <w:color w:val="000000"/>
                <w:sz w:val="16"/>
                <w:szCs w:val="16"/>
                <w:lang w:val="uk-UA" w:eastAsia="uk-UA"/>
              </w:rPr>
            </w:pPr>
            <w:r w:rsidRPr="00055F2E">
              <w:rPr>
                <w:rFonts w:ascii="Times New Roman" w:eastAsia="Times New Roman" w:hAnsi="Times New Roman" w:cs="Times New Roman"/>
                <w:bCs/>
                <w:sz w:val="18"/>
                <w:szCs w:val="18"/>
                <w:lang w:val="uk-UA" w:eastAsia="uk-UA"/>
              </w:rPr>
              <w:t>_____________________________________________</w:t>
            </w:r>
          </w:p>
          <w:p w:rsidR="00055F2E" w:rsidRPr="00055F2E" w:rsidRDefault="00055F2E" w:rsidP="00055F2E">
            <w:pPr>
              <w:tabs>
                <w:tab w:val="left" w:pos="3492"/>
              </w:tabs>
              <w:spacing w:after="0" w:line="240" w:lineRule="auto"/>
              <w:jc w:val="both"/>
              <w:rPr>
                <w:rFonts w:ascii="Times New Roman" w:eastAsia="Times New Roman" w:hAnsi="Times New Roman" w:cs="Times New Roman"/>
                <w:sz w:val="18"/>
                <w:szCs w:val="18"/>
                <w:lang w:val="uk-UA" w:eastAsia="uk-UA"/>
              </w:rPr>
            </w:pPr>
          </w:p>
        </w:tc>
      </w:tr>
      <w:tr w:rsidR="00055F2E" w:rsidRPr="00055F2E" w:rsidTr="004956C5">
        <w:tc>
          <w:tcPr>
            <w:tcW w:w="4680" w:type="dxa"/>
            <w:tcBorders>
              <w:top w:val="single" w:sz="4" w:space="0" w:color="auto"/>
            </w:tcBorders>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vertAlign w:val="superscript"/>
                <w:lang w:val="uk-UA" w:eastAsia="uk-UA"/>
              </w:rPr>
              <w:t>(посада, П.І.П., підпис)</w:t>
            </w:r>
          </w:p>
        </w:tc>
        <w:tc>
          <w:tcPr>
            <w:tcW w:w="236" w:type="dxa"/>
          </w:tcPr>
          <w:p w:rsidR="00055F2E" w:rsidRPr="00055F2E" w:rsidRDefault="00055F2E" w:rsidP="00055F2E">
            <w:pPr>
              <w:spacing w:after="0" w:line="240" w:lineRule="auto"/>
              <w:jc w:val="both"/>
              <w:rPr>
                <w:rFonts w:ascii="Times New Roman" w:eastAsia="Times New Roman" w:hAnsi="Times New Roman" w:cs="Times New Roman"/>
                <w:sz w:val="18"/>
                <w:szCs w:val="18"/>
                <w:lang w:val="uk-UA" w:eastAsia="uk-UA"/>
              </w:rPr>
            </w:pPr>
          </w:p>
        </w:tc>
        <w:tc>
          <w:tcPr>
            <w:tcW w:w="4444" w:type="dxa"/>
            <w:tcBorders>
              <w:top w:val="single" w:sz="4" w:space="0" w:color="auto"/>
            </w:tcBorders>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vertAlign w:val="superscript"/>
                <w:lang w:val="uk-UA" w:eastAsia="uk-UA"/>
              </w:rPr>
              <w:t>(посада, П.І.П., підпис)</w:t>
            </w:r>
          </w:p>
        </w:tc>
      </w:tr>
      <w:tr w:rsidR="00055F2E" w:rsidRPr="00055F2E" w:rsidTr="004956C5">
        <w:tc>
          <w:tcPr>
            <w:tcW w:w="4680" w:type="dxa"/>
          </w:tcPr>
          <w:p w:rsidR="00055F2E" w:rsidRPr="00055F2E" w:rsidRDefault="00055F2E" w:rsidP="00055F2E">
            <w:pPr>
              <w:spacing w:after="0" w:line="240" w:lineRule="auto"/>
              <w:jc w:val="both"/>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lang w:val="uk-UA" w:eastAsia="uk-UA"/>
              </w:rPr>
              <w:t>М.П.</w:t>
            </w:r>
          </w:p>
        </w:tc>
        <w:tc>
          <w:tcPr>
            <w:tcW w:w="236" w:type="dxa"/>
          </w:tcPr>
          <w:p w:rsidR="00055F2E" w:rsidRPr="00055F2E" w:rsidRDefault="00055F2E" w:rsidP="00055F2E">
            <w:pPr>
              <w:spacing w:after="0" w:line="240" w:lineRule="auto"/>
              <w:jc w:val="both"/>
              <w:rPr>
                <w:rFonts w:ascii="Times New Roman" w:eastAsia="Times New Roman" w:hAnsi="Times New Roman" w:cs="Times New Roman"/>
                <w:sz w:val="18"/>
                <w:szCs w:val="18"/>
                <w:lang w:val="uk-UA" w:eastAsia="uk-UA"/>
              </w:rPr>
            </w:pPr>
          </w:p>
        </w:tc>
        <w:tc>
          <w:tcPr>
            <w:tcW w:w="4444" w:type="dxa"/>
          </w:tcPr>
          <w:p w:rsidR="00055F2E" w:rsidRPr="00055F2E" w:rsidRDefault="00055F2E" w:rsidP="00055F2E">
            <w:pPr>
              <w:spacing w:after="0" w:line="240" w:lineRule="auto"/>
              <w:jc w:val="both"/>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lang w:val="uk-UA" w:eastAsia="uk-UA"/>
              </w:rPr>
              <w:t>М.П.</w:t>
            </w:r>
          </w:p>
        </w:tc>
      </w:tr>
      <w:tr w:rsidR="00055F2E" w:rsidRPr="00055F2E" w:rsidTr="004956C5">
        <w:tc>
          <w:tcPr>
            <w:tcW w:w="4680" w:type="dxa"/>
            <w:vAlign w:val="bottom"/>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lang w:val="uk-UA" w:eastAsia="uk-UA"/>
              </w:rPr>
              <w:t>"____"___________ 20___р.</w:t>
            </w:r>
          </w:p>
        </w:tc>
        <w:tc>
          <w:tcPr>
            <w:tcW w:w="236" w:type="dxa"/>
            <w:vAlign w:val="bottom"/>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uk-UA"/>
              </w:rPr>
            </w:pPr>
          </w:p>
        </w:tc>
        <w:tc>
          <w:tcPr>
            <w:tcW w:w="4444" w:type="dxa"/>
            <w:vAlign w:val="bottom"/>
          </w:tcPr>
          <w:p w:rsidR="00055F2E" w:rsidRPr="00055F2E" w:rsidRDefault="00055F2E" w:rsidP="00055F2E">
            <w:pPr>
              <w:spacing w:after="0" w:line="240" w:lineRule="auto"/>
              <w:jc w:val="center"/>
              <w:rPr>
                <w:rFonts w:ascii="Times New Roman" w:eastAsia="Times New Roman" w:hAnsi="Times New Roman" w:cs="Times New Roman"/>
                <w:sz w:val="18"/>
                <w:szCs w:val="18"/>
                <w:lang w:val="uk-UA" w:eastAsia="uk-UA"/>
              </w:rPr>
            </w:pPr>
            <w:r w:rsidRPr="00055F2E">
              <w:rPr>
                <w:rFonts w:ascii="Times New Roman" w:eastAsia="Times New Roman" w:hAnsi="Times New Roman" w:cs="Times New Roman"/>
                <w:sz w:val="18"/>
                <w:szCs w:val="18"/>
                <w:lang w:val="uk-UA" w:eastAsia="uk-UA"/>
              </w:rPr>
              <w:t>"____"_____________ 20__р.</w:t>
            </w:r>
          </w:p>
        </w:tc>
      </w:tr>
    </w:tbl>
    <w:p w:rsidR="00055F2E" w:rsidRPr="00055F2E" w:rsidRDefault="00055F2E" w:rsidP="002D26C0">
      <w:pPr>
        <w:spacing w:after="0" w:line="240" w:lineRule="auto"/>
        <w:contextualSpacing/>
        <w:jc w:val="both"/>
        <w:outlineLvl w:val="2"/>
        <w:rPr>
          <w:rFonts w:ascii="Times New Roman" w:eastAsia="Times New Roman" w:hAnsi="Times New Roman" w:cs="Times New Roman"/>
          <w:b/>
          <w:bCs/>
          <w:color w:val="000000"/>
          <w:sz w:val="17"/>
          <w:szCs w:val="17"/>
          <w:lang w:val="uk-UA" w:eastAsia="uk-UA"/>
        </w:rPr>
      </w:pPr>
    </w:p>
    <w:sectPr w:rsidR="00055F2E" w:rsidRPr="00055F2E" w:rsidSect="00055F2E">
      <w:pgSz w:w="11906" w:h="16838"/>
      <w:pgMar w:top="284"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2E"/>
    <w:rsid w:val="00055F2E"/>
    <w:rsid w:val="00072C64"/>
    <w:rsid w:val="000A3FCA"/>
    <w:rsid w:val="00210B17"/>
    <w:rsid w:val="002A077A"/>
    <w:rsid w:val="002D26C0"/>
    <w:rsid w:val="005D2F62"/>
    <w:rsid w:val="00721F5B"/>
    <w:rsid w:val="007E5A14"/>
    <w:rsid w:val="008834E1"/>
    <w:rsid w:val="008C5E96"/>
    <w:rsid w:val="00903D2C"/>
    <w:rsid w:val="00964DF2"/>
    <w:rsid w:val="00E668E7"/>
    <w:rsid w:val="00E95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3DD8C-D169-42FC-9060-09CB9D0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F2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55F2E"/>
    <w:rPr>
      <w:rFonts w:ascii="Tahoma" w:hAnsi="Tahoma" w:cs="Tahoma"/>
      <w:sz w:val="16"/>
      <w:szCs w:val="16"/>
    </w:rPr>
  </w:style>
  <w:style w:type="character" w:styleId="a5">
    <w:name w:val="Placeholder Text"/>
    <w:basedOn w:val="a0"/>
    <w:uiPriority w:val="99"/>
    <w:semiHidden/>
    <w:rsid w:val="00E668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589E-E060-48A1-9CC6-36195045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10791</Words>
  <Characters>6151</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Semeshchuk</dc:creator>
  <cp:lastModifiedBy>Artur Kutukov</cp:lastModifiedBy>
  <cp:revision>1</cp:revision>
  <cp:lastPrinted>2020-07-22T13:14:00Z</cp:lastPrinted>
  <dcterms:created xsi:type="dcterms:W3CDTF">2025-09-19T12:28:00Z</dcterms:created>
  <dcterms:modified xsi:type="dcterms:W3CDTF">2025-09-19T12:28:00Z</dcterms:modified>
</cp:coreProperties>
</file>